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(1) Eine Erlaubnis nach § 1 wird erteilt, wenn der Antragsteller</w:t>
      </w:r>
    </w:p>
    <w:p>
      <w:pPr>
        <w:ind w:left="420"/>
      </w:pPr>
      <w:r>
        <w:t xml:space="preserve">1. nach einer dreijährigen Ausbildung die staatliche Prüfung für Logopäden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Logopädin oder Logopäde anerkannt wurden,</w:t>
      </w:r>
    </w:p>
    <w:p>
      <w:pPr>
        <w:ind w:left="420"/>
      </w:pPr>
      <w:r>
        <w:t xml:space="preserve">2. sie über eine dreijährige Berufserfahrung in der Logopädie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Prüfungsordnung für Logopäden geregelten Ausbildung aufweist.</w:t>
      </w:r>
    </w:p>
    <w:p>
      <w:r>
        <w:t xml:space="preserve">Absatz 3 Satz 5 bis 7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Logopäden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des Logopäden dieselben Rechte verleihen oder auf die Ausübung des Berufs des Logopäden vorbereiten. Satz 2 gilt ferner für Berufsqualifikationen, die zwar nicht den Erfordernissen der Rechts- oder Verwaltungsvorschriften des Herkunftsmitgliedstaats für die Aufnahme oder Ausübung des Berufs des Logopäden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Ausbildungs- und Prüfungsordnung für Logopäden vorgeschrieben sind, oder</w:t>
      </w:r>
    </w:p>
    <w:p>
      <w:pPr>
        <w:ind w:left="420"/>
      </w:pPr>
      <w:r>
        <w:t xml:space="preserve">2. der Beruf des Logopäden eine oder mehrere reglementierte Tätigkeiten umfasst, die im Herkunftsstaat des Antragstellers nicht Bestandteil des Berufs sind, der dem des Logopäden entspricht, und wenn sich die Ausbildung für diese Tätigkeiten auf Fächer oder Bereiche der praktischen Ausbildung nach diesem Gesetz und nach der Ausbildungs- und Prüfungsordnung für Logopäden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Logopädenberufs in Deutschland sind. Wesentliche Unterschiede können ganz oder teilweise durch Kenntnisse und Fähigkeiten ausgeglichen werden, die der Antragsteller im Rahmen seiner tatsächlichen und rechtmäßigen Ausübung des Logopädenberufs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Logopäden.</w:t>
      </w:r>
    </w:p>
    <w:p>
      <w:r>
        <w:t xml:space="preserve">(3a) Für Antragsteller, die über einen Ausbildungsnachweis verfügen, der dem in Artikel 11 Buchstabe a der Richtlinie 2005/36/EG genannten Niveau entspricht, gilt Absatz 3 Satz 5 bis 7 sowie 9 mit der Maßgabe, dass die erforderliche Ausgleichsmaßnahme abweichend von Absatz 3 Satz 8 aus einer Eignungsprüfung besteht.</w:t>
      </w:r>
    </w:p>
    <w:p>
      <w:r>
        <w:t xml:space="preserve">(3b)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(4) Die Absätze 3 und 3a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