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LogopG</w:t>
      </w:r>
    </w:p>
    <w:p>
      <w:r>
        <w:rPr>
          <w:color w:val="555555"/>
          <w:sz w:val="18"/>
        </w:rPr>
        <w:t xml:space="preserve">Gesetz über den Beruf des Logopäden</w:t>
      </w:r>
    </w:p>
    <w:p>
      <w:r>
        <w:rPr>
          <w:color w:val="555555"/>
          <w:sz w:val="18"/>
        </w:rPr>
        <w:t xml:space="preserve">Stand: 28.09.2021 (konsolidierte Textfassung, kein amtliches Inkrafttretensdatum)</w:t>
      </w:r>
    </w:p>
    <w:p>
      <w:r>
        <w:t xml:space="preserve">§ 4 Absatz 5 bis 7 tritt am 31. Dezember 2024 außer Kraft. Ausbildungen nach § 4 Absatz 5, die vor dem 31. Dezember 2024 begonnen worden sind, werden nach dieser Vorschrift abgeschlossen.</w:t>
      </w:r>
    </w:p>
    <w:p>
      <w:r>
        <w:rPr>
          <w:color w:val="555555"/>
          <w:sz w:val="17"/>
        </w:rPr>
        <w:t xml:space="preserve">Zitiervorschlag: § 11 LogopG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https://recht.nulegal.eu/gesetze/LogopG/11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