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LogAPrO — (zu § 1 Abs. 2)</w:t>
      </w:r>
    </w:p>
    <w:p>
      <w:r>
        <w:rPr>
          <w:color w:val="555555"/>
          <w:sz w:val="18"/>
        </w:rPr>
        <w:t xml:space="preserve">Ausbildungs- und Prüfungsordnung für Logopäden</w:t>
      </w:r>
    </w:p>
    <w:p>
      <w:r>
        <w:rPr>
          <w:color w:val="555555"/>
          <w:sz w:val="18"/>
        </w:rPr>
        <w:t xml:space="preserve">Stand: 30.10.2025 (konsolidierte Textfassung, kein amtliches Inkrafttretensdatum)</w:t>
      </w:r>
    </w:p>
    <w:p>
      <w:r>
        <w:t xml:space="preserve">(Fundstelle: BGBl. I 1980, 1898)</w:t>
      </w:r>
    </w:p>
    <w:p>
      <w:r>
        <w:rPr>
          <w:color w:val="555555"/>
          <w:sz w:val="17"/>
        </w:rPr>
        <w:t xml:space="preserve">Zitiervorschlag: Anlage 3 LogAPrO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https://recht.nulegal.eu/gesetze/LogAPrO/anlage-3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