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LobbyRG — Bericht und Evaluierung</w:t>
      </w:r>
    </w:p>
    <w:p>
      <w:r>
        <w:rPr>
          <w:color w:val="555555"/>
          <w:sz w:val="18"/>
        </w:rPr>
        <w:t xml:space="preserve">Lobbyregistergesetz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registerführende Stelle erstellt alle zwei Jahre, erstmalig zum 31. März 2025, einen Bericht über die Führung des Lobbyregisters, der anschließend der Bundesregierung und dem Deutschen Bundestag vorgelegt wird.</w:t>
      </w:r>
    </w:p>
    <w:p>
      <w:r>
        <w:t xml:space="preserve">(2) Der Deutsche Bundestag und die Bundesregierung überprüfen die Auswirkungen dieses Gesetzes erstmalig fünf Jahre nach Inkrafttreten des Gesetzes und veröffentlichen die Ergebnisse der Überprüfung.</w:t>
      </w:r>
    </w:p>
    <w:p>
      <w:r>
        <w:rPr>
          <w:color w:val="555555"/>
          <w:sz w:val="17"/>
        </w:rPr>
        <w:t xml:space="preserve">Zitiervorschlag: § 9 LobbyRG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https://recht.nulegal.eu/gesetze/LobbyRG/9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