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LmhFortbPrüfV</w:t>
      </w:r>
    </w:p>
    <w:p>
      <w:r>
        <w:rPr>
          <w:color w:val="555555"/>
          <w:sz w:val="18"/>
        </w:rPr>
        <w:t xml:space="preserve">Lebensmittelhandwerkfortbildungsprüfungsverordnung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42 Absatz 1 in Verbindung mit Absatz 2 der Handwerksordnung, von denen Absatz 1 durch Artikel 283 der Verordnung vom 31. August 2015 (BGBl. I S. 1474) geändert worden ist,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LmhFortbPrüfV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https://recht.nulegal.eu/gesetze/LmhFortbPr%C3%BCfV/eingangsformel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