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LmhFortbPrüfV — Nachweis des Erwerbs der berufs- und arbeitspädagogischen Qualifikationen</w:t>
      </w:r>
    </w:p>
    <w:p>
      <w:r>
        <w:rPr>
          <w:color w:val="555555"/>
          <w:sz w:val="18"/>
        </w:rPr>
        <w:t xml:space="preserve">Lebensmittelhandwerkfortbildungsprüfungsverordnung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Den Erwerb der berufs- und arbeitspädagogischen Qualifikationen hat die zu prüfende Person nachzuweisen durch</w:t>
      </w:r>
    </w:p>
    <w:p>
      <w:pPr>
        <w:ind w:left="420"/>
      </w:pPr>
      <w:r>
        <w:t xml:space="preserve">1. eine erfolgreich abgelegte Prüfung nach den §§ 4 und 5 der Allgemeinen Meisterprüfungsverordnung in der jeweils geltenden Fassung,</w:t>
      </w:r>
    </w:p>
    <w:p>
      <w:pPr>
        <w:ind w:left="420"/>
      </w:pPr>
      <w:r>
        <w:t xml:space="preserve">2. eine erfolgreich abgelegte Prüfung nach § 4 der Ausbilder-Eignungsverordnung vom 21. Januar 2009 (BGBl. I S. 88) in der jeweils geltenden Fassung oder</w:t>
      </w:r>
    </w:p>
    <w:p>
      <w:pPr>
        <w:ind w:left="420"/>
      </w:pPr>
      <w:r>
        <w:t xml:space="preserve">3. eine andere erfolgreich abgelegte vergleichbare Prüfung vor einer öffentlichen oder staatlich anerkannten Bildungseinrichtung oder vor einem staatlichen Prüfungsausschuss.</w:t>
      </w:r>
    </w:p>
    <w:p>
      <w:r>
        <w:rPr>
          <w:color w:val="555555"/>
          <w:sz w:val="17"/>
        </w:rPr>
        <w:t xml:space="preserve">Zitiervorschlag: § 5 LmhFortbPrüfV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https://recht.nulegal.eu/gesetze/LmhFortbPr%C3%BCfV/5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