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LmhFortbPrüfV — Nachweis des Erwerbs der betriebswirtschaftlichen, kaufmännischen und rechtlichen Qualifikationen</w:t>
      </w:r>
    </w:p>
    <w:p>
      <w:r>
        <w:rPr>
          <w:color w:val="555555"/>
          <w:sz w:val="18"/>
        </w:rPr>
        <w:t xml:space="preserve">Lebensmittelhandwerkfortbildungsprüfungsverordnung</w:t>
      </w:r>
    </w:p>
    <w:p>
      <w:r>
        <w:rPr>
          <w:color w:val="555555"/>
          <w:sz w:val="18"/>
        </w:rPr>
        <w:t xml:space="preserve">Stand: 25.12.2019 (konsolidierte Textfassung, kein amtliches Inkrafttretensdatum)</w:t>
      </w:r>
    </w:p>
    <w:p>
      <w:r>
        <w:t xml:space="preserve">(1) Den Erwerb der betriebswirtschaftlichen, kaufmännischen und rechtlichen Qualifikationen hat die zu prüfende Person nachzuweisen durch eine erfolgreich abgelegte Prüfung nach § 2 der Allgemeinen Meisterprüfungsverordnung vom 26. Oktober 2011 (BGBl. I S. 2149) in der jeweils geltenden Fassung.</w:t>
      </w:r>
    </w:p>
    <w:p>
      <w:r>
        <w:t xml:space="preserve">(2) Die Prüfung darf nicht länger als fünf Jahre vor der ersten abgelegten Prüfungsleistung in der Prüfung „Schwerpunktspezifische Verkaufsleitungsqualifikationen“ abgelegt worden sein.</w:t>
      </w:r>
    </w:p>
    <w:p>
      <w:r>
        <w:rPr>
          <w:color w:val="555555"/>
          <w:sz w:val="17"/>
        </w:rPr>
        <w:t xml:space="preserve">Zitiervorschlag: § 4 LmhFortbPrüfV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https://recht.nulegal.eu/gesetze/LmhFortbPr%C3%BCfV/4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