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LmhFortbPrüfV — Teile des Fortbildungsabschlusses</w:t>
      </w:r>
    </w:p>
    <w:p>
      <w:r>
        <w:rPr>
          <w:color w:val="555555"/>
          <w:sz w:val="18"/>
        </w:rPr>
        <w:t xml:space="preserve">Lebensmittelhandwerkfortbildungsprüfungsverordnung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den Fortbildungsabschluss zum Geprüften Verkaufsleiter im Lebensmittelhandwerk und zur Geprüften Verkaufsleiterin im Lebensmittelhandwerk ist Folgendes erforderlich:</w:t>
      </w:r>
    </w:p>
    <w:p>
      <w:pPr>
        <w:ind w:left="420"/>
      </w:pPr>
      <w:r>
        <w:t xml:space="preserve">1. der Nachweis des Erwerbs der betriebswirtschaftlichen, kaufmännischen und rechtlichen Qualifikationen nach § 4,</w:t>
      </w:r>
    </w:p>
    <w:p>
      <w:pPr>
        <w:ind w:left="420"/>
      </w:pPr>
      <w:r>
        <w:t xml:space="preserve">2. der Nachweis des Erwerbs der erworbenen berufs- und arbeitspädagogischen Qualifikationen nach § 5 und</w:t>
      </w:r>
    </w:p>
    <w:p>
      <w:pPr>
        <w:ind w:left="420"/>
      </w:pPr>
      <w:r>
        <w:t xml:space="preserve">3. die im Rahmen dieser Verordnung geregelte Prüfung der schwerpunktspezifischen Verkaufsleitungsqualifikationen nach den §§ 6 bis 24.</w:t>
      </w:r>
    </w:p>
    <w:p>
      <w:r>
        <w:t xml:space="preserve">(2) Die Prüfung der schwerpunktspezifischen Verkaufsleitungsqualifikationen ist innerhalb von zwei Jahren ab der ersten abgelegten Prüfungsleistung in dieser Prüfung abzuschließen.</w:t>
      </w:r>
    </w:p>
    <w:p>
      <w:r>
        <w:rPr>
          <w:color w:val="555555"/>
          <w:sz w:val="17"/>
        </w:rPr>
        <w:t xml:space="preserve">Zitiervorschlag: § 3 LmhFortbPrüfV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https://recht.nulegal.eu/gesetze/LmhFortbPr%C3%BCfV/3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