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LmhFortbPrüfV — Inkrafttreten</w:t>
      </w:r>
    </w:p>
    <w:p>
      <w:r>
        <w:rPr>
          <w:color w:val="555555"/>
          <w:sz w:val="18"/>
        </w:rPr>
        <w:t xml:space="preserve">Lebensmittelhandwerkfortbildungsprüfungsverordnung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2016 in Kraft.</w:t>
      </w:r>
    </w:p>
    <w:p>
      <w:r>
        <w:rPr>
          <w:color w:val="555555"/>
          <w:sz w:val="17"/>
        </w:rPr>
        <w:t xml:space="preserve">Zitiervorschlag: § 27 LmhFortbPrüfV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https://recht.nulegal.eu/gesetze/LmhFortbPr%C3%BCfV/27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