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LmhFortbPrüfV — Befreiung von einzelnen Prüfungsbestandteilen</w:t>
      </w:r>
    </w:p>
    <w:p>
      <w:r>
        <w:rPr>
          <w:color w:val="555555"/>
          <w:sz w:val="18"/>
        </w:rPr>
        <w:t xml:space="preserve">Lebensmittelhandwerkfortbildungsprüfungsverordnung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Wird die zu prüfende Person nach § 42c Absatz 2 der Handwerksordnung von der Ablegung einzelner Prüfungsbestandteile befreit, bleiben diese Prüfungsbestandteile für die Anwendung der §§ 23 und 24 außer Betracht. Für die übrigen Prüfungsbestandteile erhöhen sich die Anteile nach § 23 Absatz 3 Satz 1 oder § 24 Absatz 4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22 LmhFortbPrüfV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https://recht.nulegal.eu/gesetze/LmhFortbPr%C3%BCfV/22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