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LmhFortbPrüfV — Schriftliche Prüfung</w:t>
      </w:r>
    </w:p>
    <w:p>
      <w:r>
        <w:rPr>
          <w:color w:val="555555"/>
          <w:sz w:val="18"/>
        </w:rPr>
        <w:t xml:space="preserve">Lebensmittelhandwerkfortbildungsprüfungsverordnung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schriftliche Prüfung umfasst alle Handlungsbereiche der §§ 7 bis 11.</w:t>
      </w:r>
    </w:p>
    <w:p>
      <w:r>
        <w:t xml:space="preserve">(2) Die Aufgaben für die schriftliche Prüfung werden aus der Beschreibung einer betrieblichen Situation abgeleitet. Die Aufgaben werden handlungsbereichsübergreifend gestellt.</w:t>
      </w:r>
    </w:p>
    <w:p>
      <w:r>
        <w:t xml:space="preserve">(3) Die Bearbeitungszeit beträgt 300 Minuten.</w:t>
      </w:r>
    </w:p>
    <w:p>
      <w:r>
        <w:rPr>
          <w:color w:val="555555"/>
          <w:sz w:val="17"/>
        </w:rPr>
        <w:t xml:space="preserve">Zitiervorschlag: § 17 LmhFortbPrüfV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https://recht.nulegal.eu/gesetze/LmhFortbPr%C3%BCfV/17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