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67a LlbG (Bayern) — Einschränkung von Grundrechten</w:t>
      </w:r>
    </w:p>
    <w:p>
      <w:r>
        <w:rPr>
          <w:color w:val="555555"/>
          <w:sz w:val="18"/>
        </w:rPr>
        <w:t xml:space="preserve">Leistungslaufbahngesetz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kann das Grundrecht auf Unverletzlichkeit der Wohnung (Art. 13 des Grundgesetzes und Art. 106 Abs. 3 der Verfassung) eingeschränkt werden.</w:t>
      </w:r>
    </w:p>
    <w:p>
      <w:r>
        <w:rPr>
          <w:color w:val="555555"/>
          <w:sz w:val="17"/>
        </w:rPr>
        <w:t xml:space="preserve">Zitiervorschlag: Art 67a LlbG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https://recht.nulegal.eu/gesetze/LlbG/67a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