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LlbG (Bayern) — Periodische Beurteilung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Leistung, Eignung und Befähigung sind mindestens alle vier Jahre dienstlich zu beurteilen (periodische Beurteilung). Dies gilt nicht für Beamte und Beamtinnen auf Widerruf im Vorbereitungsdienst und während der Probezeit nach § 4 Abs. 3 Buchst. a BeamtStG. Satz 1 gilt auch für Beamte und Beamtinnen, die nach Art. 15 Abs. 4 Satz 1 Nr. 3 zur Ausübung einer Tätigkeit bei Fraktionen, kommunalen Vertretungskörperschaften oder kommunalen Spitzenverbänden beurlaubt wurden.</w:t>
      </w:r>
    </w:p>
    <w:p>
      <w:r>
        <w:t xml:space="preserve">(2) Die periodische Beurteilung kann zurückgestellt werden, wenn</w:t>
      </w:r>
    </w:p>
    <w:p>
      <w:r>
        <w:t xml:space="preserve">1. gegen den Beamten oder die Beamtin ein gerichtliches Strafverfahren, ein Disziplinarverfahren, Vorermittlungen oder ein strafrechtliches Ermittlungsverfahren eingeleitet worden ist, oder</w:t>
      </w:r>
    </w:p>
    <w:p>
      <w:r>
        <w:t xml:space="preserve">2. ein sonstiger in der Person liegender wichtiger Grund besteht.</w:t>
      </w:r>
    </w:p>
    <w:p>
      <w:r>
        <w:t xml:space="preserve">Nach dem rechtskräftigen Abschluss des Verfahrens, der Einstellung der Ermittlungen oder dem Wegfall des sonstigen wichtigen Grundes ist die periodische Beurteilung nachzuholen.</w:t>
      </w:r>
    </w:p>
    <w:p>
      <w:r>
        <w:t xml:space="preserve">(3) Nicht periodisch beurteilt werden Beamte und Beamtinnen in einem Amt der Besoldungsgruppe A 16 mit Amtszulage und höher.</w:t>
      </w:r>
    </w:p>
    <w:p>
      <w:r>
        <w:t xml:space="preserve">(4) Wird als Grundlage bei der Übertragung höherwertiger Dienstposten nach Art. 16 Abs. 1 Satz 3 oder bei Beförderungen nach Art. 17 Abs. 7, Art. 16 Abs. 1 Satz 3 eine periodische Beurteilung herangezogen, ist diese bis zu dem in Verwaltungsvorschriften festzulegenden einheitlichen Verwendungsbeginn der nächsten regulären periodischen Beurteilung zu verwenden. Wenn sich während des laufenden periodischen Beurteilungszeitraums erhebliche Veränderungen der tatsächlichen Grundlagen der Beurteilungskriterien ergeben haben, sodass die weitere Verwendung der letzten periodischen Beurteilung bis zum nächsten darauf folgenden einheitlichen Verwendungsbeginn ausnahmsweise nicht mehr sachgerecht wäre, ist die periodische Beurteilung zu aktualisieren. Die Aktualisierung erfolgt nach den gleichen Verfahrensvorschriften wie die reguläre periodische Beurteilung; Satz 1 gilt entsprechend.</w:t>
      </w:r>
    </w:p>
    <w:p>
      <w:r>
        <w:rPr>
          <w:color w:val="555555"/>
          <w:sz w:val="17"/>
        </w:rPr>
        <w:t xml:space="preserve">Zitiervorschlag: Art 56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