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52 LlbG (Bayern) — Qualifikationsvoraussetzungen</w:t>
      </w:r>
    </w:p>
    <w:p>
      <w:r>
        <w:rPr>
          <w:color w:val="555555"/>
          <w:sz w:val="18"/>
        </w:rPr>
        <w:t xml:space="preserve">Leistungslaufbahngesetz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Andere Bewerber und Bewerberinnen (Art. 4 Abs. 2) können berücksichtigt werden, wenn an der Gewinnung ein besonderes dienstliches Interesse besteht. Sie erwerben die Qualifikation für eine Fachlaufbahn durch Lebens- und Berufserfahrung. Die für Regelbewerber und Regelbewerberinnen erforderlichen Voraussetzungen für den Qualifikationserwerb (Art. 6 Abs. 1) dürfen von ihnen nicht gefordert werden.</w:t>
      </w:r>
    </w:p>
    <w:p>
      <w:r>
        <w:t xml:space="preserve">(2) Die oberste Dienstbehörde stellt bei ihnen die Fachlaufbahn, einen gebildeten fachlichen Schwerpunkt sowie die Qualifikationsebene fest. Bei der Feststellung der Qualifikation nach Satz 1 dürfen keine geringeren Anforderungen gestellt werden als sie von Regelbewerbern und Regelbewerberinnen gefordert werden. Die oberste Dienstbehörde kann die Zuständigkeit nach Satz 1 auf den Landespersonalausschuss übertragen.</w:t>
      </w:r>
    </w:p>
    <w:p>
      <w:r>
        <w:rPr>
          <w:color w:val="555555"/>
          <w:sz w:val="17"/>
        </w:rPr>
        <w:t xml:space="preserve">Zitiervorschlag: Art 52 LlbG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https://recht.nulegal.eu/gesetze/LlbG/52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