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51 LlbG (Bayern) — Berufsbezeichnung</w:t>
      </w:r>
    </w:p>
    <w:p>
      <w:r>
        <w:rPr>
          <w:color w:val="555555"/>
          <w:sz w:val="18"/>
        </w:rPr>
        <w:t xml:space="preserve">Leistungslaufbahngesetz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Sofern mit der Qualifikation nach den allgemeinen gesetzlichen Bestimmungen die Befugnis verbunden ist, eine Bezeichnung zu führen, wird diese als Berufsbezeichnung geführt.</w:t>
      </w:r>
    </w:p>
    <w:p>
      <w:r>
        <w:rPr>
          <w:color w:val="555555"/>
          <w:sz w:val="17"/>
        </w:rPr>
        <w:t xml:space="preserve">Zitiervorschlag: Art 51 LlbG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https://recht.nulegal.eu/gesetze/LlbG/51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