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42 LlbG (Bayern) — Anwendungsbereich</w:t>
      </w:r>
    </w:p>
    <w:p>
      <w:r>
        <w:rPr>
          <w:color w:val="555555"/>
          <w:sz w:val="18"/>
        </w:rPr>
        <w:t xml:space="preserve">Leistungslaufbahngesetz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Art. 43 bis 51 gelten für die Anerkennung von in anderen Mitgliedstaaten erworbenen Berufsqualifikationen als Qualifikation für eine Fachlaufbahn entsprechend der Richtlinie 2005/36/EG. Unberührt bleibt der Grundsatz der automatischen Anerkennung auf Grund der Regelungen in den Art. 21 ff. der Richtlinie 2005/36/EG und der Grundsatz der Anerkennung von Berufserfahrung nach Titel III Kapitel II der Richtlinie 2005/36/EG.</w:t>
      </w:r>
    </w:p>
    <w:p>
      <w:r>
        <w:t xml:space="preserve">(2) Mitgliedstaat im Sinn dieses Gesetzes ist</w:t>
      </w:r>
    </w:p>
    <w:p>
      <w:r>
        <w:t xml:space="preserve">1. jeder Mitgliedstaat der Europäischen Union,</w:t>
      </w:r>
    </w:p>
    <w:p>
      <w:r>
        <w:t xml:space="preserve">2. jeder andere Vertragsstaat des Abkommens über den Europäischen Wirtschaftsraum und</w:t>
      </w:r>
    </w:p>
    <w:p>
      <w:r>
        <w:t xml:space="preserve">3. jeder andere Vertragsstaat, dem Deutschland und die Europäische Union vertraglich einen Rechtsanspruch auf Anerkennung von Berufsqualifikationen eingeräumt haben.</w:t>
      </w:r>
    </w:p>
    <w:p>
      <w:r>
        <w:t xml:space="preserve">(3) Art. 16 des Bayerischen Berufsqualifikationsfeststellungsgesetzes ist anwendbar.</w:t>
      </w:r>
    </w:p>
    <w:p>
      <w:r>
        <w:rPr>
          <w:color w:val="555555"/>
          <w:sz w:val="17"/>
        </w:rPr>
        <w:t xml:space="preserve">Zitiervorschlag: Art 42 LlbG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https://recht.nulegal.eu/gesetze/LlbG/42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