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LlbG (Bayern) — Qualifikation auf Grund der Richtlinie 2005/36/EG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eine Fachlaufbahn kann auch auf Grund der Richtlinie 2005/36/EG erworben werden.</w:t>
      </w:r>
    </w:p>
    <w:p>
      <w:r>
        <w:t xml:space="preserve">(2) Die angemessene Beherrschung der deutschen Sprache in Wort und Schrift ist Voraussetzung für eine Einstellung. Sprachkenntnisse können überprüft werden, wenn erhebliche und konkrete Zweifel daran bestehen, dass sie für die berufliche Tätigkeit ausreichen. Eine Überprüfung darf erst nach Anerkennung der Berufsqualifikation durch die Ernennungsbehörde vorgenommen werden und muss in angemessenem Verhältnis zur auszuübenden Tätigkeit stehen.</w:t>
      </w:r>
    </w:p>
    <w:p>
      <w:r>
        <w:rPr>
          <w:color w:val="555555"/>
          <w:sz w:val="17"/>
        </w:rPr>
        <w:t xml:space="preserve">Zitiervorschlag: Art 41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