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LlbG (Bayern) — Gestaltungsgrundsätze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Fachlaufbahnen kann, soweit ein dienstliches Bedürfnis besteht, auch eingestellt werden, wer</w:t>
      </w:r>
    </w:p>
    <w:p>
      <w:r>
        <w:t xml:space="preserve">1. die Qualifikation durch ein abgeschlossenes Studium an einer Hochschule mit anschließender praktischer Tätigkeit gemäß Art. 39 erworben hat oder</w:t>
      </w:r>
    </w:p>
    <w:p>
      <w:r>
        <w:t xml:space="preserve">2. die Voraussetzungen nach Abs. 2 erfüllt.</w:t>
      </w:r>
    </w:p>
    <w:p>
      <w:r>
        <w:t xml:space="preserve">Die Qualifikationsvoraussetzungen müssen den für die betreffende Qualifikationsebene allgemein vorgeschriebenen Voraussetzungen gleichwertig sein.</w:t>
      </w:r>
    </w:p>
    <w:p>
      <w:r>
        <w:t xml:space="preserve">(2) Nach näherer Regelung durch Rechtsverordnung nach Art. 67 können die obersten Dienstbehörden mit Zustimmung des Landespersonalausschusses</w:t>
      </w:r>
    </w:p>
    <w:p>
      <w:r>
        <w:t xml:space="preserve">1. Studiengänge oder Bildungsabschlüsse als Qualifikationsvoraussetzung benennen und den Fachlaufbahnen zuordnen,</w:t>
      </w:r>
    </w:p>
    <w:p>
      <w:r>
        <w:t xml:space="preserve">2. nähere Bestimmungen über praktische Tätigkeiten, die einem Amt der angestrebten Qualifikationsebene entsprechen müssen, treffen, sowie</w:t>
      </w:r>
    </w:p>
    <w:p>
      <w:r>
        <w:t xml:space="preserve">3. bei Bedarf weitere Voraussetzungen verlangen.</w:t>
      </w:r>
    </w:p>
    <w:p>
      <w:r>
        <w:rPr>
          <w:color w:val="555555"/>
          <w:sz w:val="17"/>
        </w:rPr>
        <w:t xml:space="preserve">Zitiervorschlag: Art 38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