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25 LlbG (Bayern) — Grundsätze</w:t>
      </w:r>
    </w:p>
    <w:p>
      <w:r>
        <w:rPr>
          <w:color w:val="555555"/>
          <w:sz w:val="18"/>
        </w:rPr>
        <w:t xml:space="preserve">Leistungslaufbahngesetz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die Einstellung besteht kein Rechtsanspruch, soweit der Vorbereitungsdienst keine allgemeine Ausbildungsstätte nach Art. 12 Abs. 1 Satz 1 des Grundgesetzes ist.</w:t>
      </w:r>
    </w:p>
    <w:p>
      <w:r>
        <w:rPr>
          <w:color w:val="555555"/>
          <w:sz w:val="17"/>
        </w:rPr>
        <w:t xml:space="preserve">Zitiervorschlag: Art 25 LlbG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https://recht.nulegal.eu/gesetze/LlbG/25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