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LlbG (Bayern) — Begriffsbestimmungen</w:t>
      </w:r>
    </w:p>
    <w:p>
      <w:r>
        <w:rPr>
          <w:color w:val="555555"/>
          <w:sz w:val="18"/>
        </w:rPr>
        <w:t xml:space="preserve">Leistungslaufbahngesetz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Einstellung ist eine Ernennung, durch die ein Beamtenverhältnis begründet wird.</w:t>
      </w:r>
    </w:p>
    <w:p>
      <w:r>
        <w:t xml:space="preserve">(2) Beförderung ist eine Ernennung, durch die ein anderes Amt mit höherem Endgrundgehalt oder ein anderes Amt mit höherer Amtszulage verliehen wird.</w:t>
      </w:r>
    </w:p>
    <w:p>
      <w:r>
        <w:t xml:space="preserve">(3) Soweit in diesem Gesetz der Begriff der obersten Dienstbehörde, des Dienstvorgesetzten bzw. Vorgesetzten oder der Begriff des Angehörigen verwendet wird, finden Art. 2 bis 4 und 135 BayBG Anwendung.</w:t>
      </w:r>
    </w:p>
    <w:p>
      <w:r>
        <w:rPr>
          <w:color w:val="555555"/>
          <w:sz w:val="17"/>
        </w:rPr>
        <w:t xml:space="preserve">Zitiervorschlag: Art 2 LlbG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https://recht.nulegal.eu/gesetze/LlbG/2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