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LlbG (Bayern) — Einstellung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Einstellung ist nur in dem besoldungsrechtlich festgelegten Eingangsamt zulässig. Die oberste Dienstbehörde kann von Satz 1 Ausnahmen im Einzelfall zulassen; in einer Gruppe von Fällen bedarf es der Zustimmung des Staatsministeriums der Finanzen und für Heimat. Eine Ausnahme nach Satz 2 ist dann zulässig, wenn der Bewerber oder die Bewerberin für das zu übertragende Amt geeignet erscheint, durch berufliche Tätigkeiten innerhalb oder außerhalb des öffentlichen Dienstes eine den Anforderungen entsprechende Erfahrung erworben hat und an der Gewinnung ein dienstliches Interesse besteht.</w:t>
      </w:r>
    </w:p>
    <w:p>
      <w:r>
        <w:t xml:space="preserve">(2) Haben sich die Anforderungen an die fachliche Eignung für die Einstellung in den öffentlichen Dienst in der Zeit erhöht, in der sich die Bewerbung um Einstellung infolge der Geburt oder der Betreuung eines Kindes verzögert hat, und ist die Bewerbung innerhalb von drei Jahren nach der Geburt dieses Kindes oder sechs Monate nach Erfüllung der ausbildungsmäßigen Einstellungsvoraussetzungen erfolgt, so ist der Grad der fachlichen Eignung nach den Anforderungen zu prüfen, die zu einem Zeitpunkt bestanden haben, zu dem die Bewerbung ohne die Geburt oder die Betreuung des Kindes hätte erfolgen können. Führt die Prüfung zu dem Ergebnis, dass der Bewerber oder die Bewerberin ohne diese Verzögerung eingestellt worden wäre, kann er oder sie vor anderen Bewerbern und Bewerberinnen eingestellt werden. Die Zahl der Stellen, die diesen Bewerbern und Bewerberinnen in einem Einstellungstermin vorbehalten werden kann, bestimmt sich nach dem zahlenmäßigen Verhältnis der Bewerber und Bewerberinnen mit Verzögerung zu denjenigen ohne eine solche Verzögerung; Bruchteile von Stellen sind zugunsten der betroffenen Bewerber oder Bewerberinnen aufzurunden. Für die Berechnung des Zeitraums der Verzögerung sind nur die einen Anspruch auf Elternzeit nach § 15 Abs. 1 Satz 1 und Abs. 2 des Bundeselterngeld- und Elternzeitgesetzes (BEEG) begründenden Zeiten sowie die Zeiten nach § 3 Abs. 2 und § 6 Abs. 1 des Mutterschutzgesetzes zu berücksichtigen. Sätze 1 bis 3 gelten entsprechend, wenn sich die Bewerbung um Einstellung nur wegen der tatsächlichen Pflege eines nach ärztlichem Gutachten pflegebedürftigen sonstigen Angehörigen im Sinn des Art. 2 Abs. 3 in Verbindung mit Art. 4 BayBG verzögert. Der nach Satz 5 berücksichtigungsfähige Zeitraum beträgt längstens drei Jahre.</w:t>
      </w:r>
    </w:p>
    <w:p>
      <w:r>
        <w:rPr>
          <w:color w:val="555555"/>
          <w:sz w:val="17"/>
        </w:rPr>
        <w:t xml:space="preserve">Zitiervorschlag: Art 14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