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Lkw-MautV 2018 — Teilautomatisches Mauterhebungssystem</w:t>
      </w:r>
    </w:p>
    <w:p>
      <w:r>
        <w:rPr>
          <w:color w:val="555555"/>
          <w:sz w:val="18"/>
        </w:rPr>
        <w:t xml:space="preserve">Lkw-Maut-Verordnung</w:t>
      </w:r>
    </w:p>
    <w:p>
      <w:r>
        <w:rPr>
          <w:color w:val="555555"/>
          <w:sz w:val="18"/>
        </w:rPr>
        <w:t xml:space="preserve">Stand: 09.12.2025 (konsolidierte Textfassung, kein amtliches Inkrafttretensdatum)</w:t>
      </w:r>
    </w:p>
    <w:p>
      <w:r>
        <w:t xml:space="preserve">(1) Die Teilnahme an dem teilautomatischen Mauterhebungssystem erfolgt über eine vom Betreiber bereitgestellte Applikation für mobile Endgeräte mit satellitengestützter Ortungsfunktion. Für die Teilnahme am teilautomatischen Mauterhebungssystem ist eine Anmeldung des Mautschuldners beim Betreiber erforderlich. Bei der Anmeldung hat der Mautschuldner die für die Mauterhebung maßgeblichen Tatsachen nach § 2 Nummer 1, 4, 5 und 6 wahrheitsgemäß und vollständig anzugeben.</w:t>
      </w:r>
    </w:p>
    <w:p>
      <w:r>
        <w:t xml:space="preserve">(2) Das für die Teilnahme am teilautomatischen Mauterhebungssystem verwendete mobile Endgerät gilt während der Benutzung des mautpflichtigen Straßennetzes als Fahrzeuggerät im Sinne des § 5 Absatz 1 Satz 2. Der Mautschuldner hat das mobile Endgerät unter Beachtung der Anforderungen des § 23 Absatz 1a Satz 1 der Straßenverkehrsordnung so im Fahrzeug anzubringen, dass das Senden und Empfangen von Signalen zur Positionsbestimmung sowie der mobilfunkbasierte Datenaustausch ununterbrochen möglich sind. Während der Benutzung des mautpflichtigen Straßennetzes muss sich das mobile Endgerät in einem Ladezustand befinden, der die ununterbrochene Teilnahme am teilautomatischen Mauterhebungssystem gewährleistet. Die Mobilfunkkosten trägt der Mautschuldner.</w:t>
      </w:r>
    </w:p>
    <w:p>
      <w:r>
        <w:t xml:space="preserve">(3) § 5 Absatz 3 bis 5 gilt entsprechend.</w:t>
      </w:r>
    </w:p>
    <w:p>
      <w:r>
        <w:rPr>
          <w:color w:val="555555"/>
          <w:sz w:val="17"/>
        </w:rPr>
        <w:t xml:space="preserve">Zitiervorschlag: § 5a Lkw-MautV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https://recht.nulegal.eu/gesetze/Lkw-MautV%202018/5a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