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Lkw-MautV 2018 — Manuelles Mauterhebungssystem</w:t>
      </w:r>
    </w:p>
    <w:p>
      <w:r>
        <w:rPr>
          <w:color w:val="555555"/>
          <w:sz w:val="18"/>
        </w:rPr>
        <w:t xml:space="preserve">Lkw-Maut-Verordnung</w:t>
      </w:r>
    </w:p>
    <w:p>
      <w:r>
        <w:rPr>
          <w:color w:val="555555"/>
          <w:sz w:val="18"/>
        </w:rPr>
        <w:t xml:space="preserve">Stand: 07.12.2023 (konsolidierte Textfassung, kein amtliches Inkrafttretensdatum)</w:t>
      </w:r>
    </w:p>
    <w:p>
      <w:r>
        <w:t xml:space="preserve">(1) Die manuelle Einbuchung kann über die Internetseite oder eine für mobile Endgeräte bereitgestellte Software (mobile Applikation) erfolgen, die jeweils von dem in § 4 Absatz 3 Satz 1 des Bundesfernstraßenmautgesetzes bezeichneten Betreiber bereitgestellt werden. Für die manuelle Einbuchung ist eine Anmeldung beim Betreiber nicht erforderlich, wahlweise aber möglich.</w:t>
      </w:r>
    </w:p>
    <w:p>
      <w:r>
        <w:t xml:space="preserve">(2) Nutzt der Mautschuldner zur Mautentrichtung die Internetseite oder die mobile Applikation, so hat er die für die Nutzung erforderlichen technischen Voraussetzungen selbst zu schaffen. Die eventuell anfallenden Kosten seiner Online-Verbindung trägt der Mautschuldner. Wenn eine Anmeldung beim Betreiber erfolgt, hat der Mautschuldner die für die Mauterhebung maßgeblichen Tatsachen nach § 2 Nummer 1, 4, 5 und 6 wahrheitsgemäß und vollständig anzugeben.</w:t>
      </w:r>
    </w:p>
    <w:p>
      <w:r>
        <w:t xml:space="preserve">(3) Der Mautschuldner hat die für die Mauterhebung maßgeblichen Tatsachen nach § 2 Nummer 1 bis 6 wahrheitsgemäß und vollständig einzugeben (Einbuchung).</w:t>
      </w:r>
    </w:p>
    <w:p>
      <w:r>
        <w:t xml:space="preserve">(4) Bei der Einbuchung wird dem Mautschuldner eine Einbuchungsnummer sowie der für die Durchführung der Fahrt zulässige Zeitraum (Gültigkeitszeitraum) mitgeteilt.</w:t>
      </w:r>
    </w:p>
    <w:p>
      <w:r>
        <w:rPr>
          <w:color w:val="555555"/>
          <w:sz w:val="17"/>
        </w:rPr>
        <w:t xml:space="preserve">Zitiervorschlag: § 4 Lkw-MautV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https://recht.nulegal.eu/gesetze/Lkw-MautV%202018/4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Lkw-MautV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