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Lkw-MautV 2018 — Inkrafttreten, Außerkrafttreten</w:t>
      </w:r>
    </w:p>
    <w:p>
      <w:r>
        <w:rPr>
          <w:color w:val="555555"/>
          <w:sz w:val="18"/>
        </w:rPr>
        <w:t xml:space="preserve">Lkw-Maut-Verordnung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LKW-Maut-Verordnung vom 24. Juni 2003 (BGBl. I S. 1003), die zuletzt durch Artikel 3 des Gesetzes vom 5. Dezember 2014 (BGBl. I S. 1980) geändert worden ist, außer Kraft.</w:t>
      </w:r>
    </w:p>
    <w:p>
      <w:r>
        <w:rPr>
          <w:color w:val="555555"/>
          <w:sz w:val="17"/>
        </w:rPr>
        <w:t xml:space="preserve">Zitiervorschlag: § 11 Lkw-MautV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https://recht.nulegal.eu/gesetze/Lkw-MautV%202018/11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Lkw-MautV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