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LkSG — Abhilfemaßnahmen</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(1) Stellt das Unternehmen fest, dass die Verletzung einer menschenrechtsbezogenen oder einer umweltbezogenen Pflicht in seinem eigenen Geschäftsbereich oder bei einem unmittelbaren Zulieferer bereits eingetreten ist oder unmittelbar bevorsteht, hat es unverzüglich angemessene Abhilfemaßnahmen zu ergreifen, um diese Verletzung zu verhindern, zu beenden oder das Ausmaß der Verletzung zu minimieren. § 5 Absatz 1 Satz 2 gilt entsprechend. Im eigenen Geschäftsbereich im Inland muss die Abhilfemaßnahme zu einer Beendigung der Verletzung führen. Im eigenen Geschäftsbereich im Ausland und im eigenen Geschäftsbereich gemäß § 2 Absatz 6 Satz 3 muss die Abhilfemaßnahme in der Regel zur Beendigung der Verletzung führen.</w:t>
      </w:r>
    </w:p>
    <w:p>
      <w:r>
        <w:t xml:space="preserve">(2) Ist die Verletzung einer menschenrechtsbezogenen oder einer umweltbezogenen Pflicht bei einem unmittelbaren Zulieferer so beschaffen, dass das Unternehmen sie nicht in absehbarer Zeit beenden kann, muss es unverzüglich ein Konzept zur Beendigung oder Minimierung erstellen und umsetzen. Das Konzept muss einen konkreten Zeitplan enthalten. Bei der Erstellung und Umsetzung des Konzepts sind insbesondere folgende Maßnahmen in Betracht zu ziehen:</w:t>
      </w:r>
    </w:p>
    <w:p>
      <w:pPr>
        <w:ind w:left="420"/>
      </w:pPr>
      <w:r>
        <w:t xml:space="preserve">1. die gemeinsame Erarbeitung und Umsetzung eines Plans zur Beendigung oder Minimierung der Verletzung mit dem Unternehmen, durch das die Verletzung verursacht wird,</w:t>
      </w:r>
    </w:p>
    <w:p>
      <w:pPr>
        <w:ind w:left="420"/>
      </w:pPr>
      <w:r>
        <w:t xml:space="preserve">2. der Zusammenschluss mit anderen Unternehmen im Rahmen von Brancheninitiativen und Branchenstandards, um die Einflussmöglichkeit auf den Verursacher zu erhöhen,</w:t>
      </w:r>
    </w:p>
    <w:p>
      <w:pPr>
        <w:ind w:left="420"/>
      </w:pPr>
      <w:r>
        <w:t xml:space="preserve">3. ein temporäres Aussetzen der Geschäftsbeziehung während der Bemühungen zur Risikominimierung.</w:t>
      </w:r>
    </w:p>
    <w:p>
      <w:r>
        <w:t xml:space="preserve">(3) Der Abbruch einer Geschäftsbeziehung ist nur geboten, wenn</w:t>
      </w:r>
    </w:p>
    <w:p>
      <w:pPr>
        <w:ind w:left="420"/>
      </w:pPr>
      <w:r>
        <w:t xml:space="preserve">1. die Verletzung einer geschützten Rechtsposition oder einer umweltbezogenen Pflicht als sehr schwerwiegend bewertet wird,</w:t>
      </w:r>
    </w:p>
    <w:p>
      <w:pPr>
        <w:ind w:left="420"/>
      </w:pPr>
      <w:r>
        <w:t xml:space="preserve">2. die Umsetzung der im Konzept erarbeiteten Maßnahmen nach Ablauf der im Konzept festgelegten Zeit keine Abhilfe bewirkt,</w:t>
      </w:r>
    </w:p>
    <w:p>
      <w:pPr>
        <w:ind w:left="420"/>
      </w:pPr>
      <w:r>
        <w:t xml:space="preserve">3. dem Unternehmen keine anderen milderen Mittel zur Verfügung stehen und eine Erhöhung des Einflussvermögens nicht aussichtsreich erscheint.</w:t>
      </w:r>
    </w:p>
    <w:p>
      <w:r>
        <w:t xml:space="preserve">Die bloße Tatsache, dass ein Staat eines der in der Anlage zu diesem Gesetz aufgelisteten Übereinkommen nicht ratifiziert oder nicht in sein nationales Recht umgesetzt hat, führt nicht zu einer Pflicht zum Abbruch der Geschäftsbeziehung. Von Satz 2 unberührt bleiben Einschränkungen des Außenwirtschaftsverkehrs durch oder aufgrund von Bundesrecht, Recht der Europäischen Union oder Völkerrecht.</w:t>
      </w:r>
    </w:p>
    <w:p>
      <w:r>
        <w:t xml:space="preserve">(4) Die Wirksamkeit der Abhilfemaßnahmen ist einmal im Jahr sowie anlassbezogen zu überprüfen, wenn das Unternehmen mit einer wesentlich veränderten oder wesentlich erweiterten Risikolage im eigenen Geschäftsbereich oder beim unmittelbaren Zulieferer rechnen muss, etwa durch die Einführung neuer Produkte, Projekte oder eines neuen Geschäftsfeldes. Erkenntnisse aus der Bearbeitung von Hinweisen nach § 8 Absatz 1 sind zu berücksichtigen. Die Maßnahmen sind bei Bedarf unverzüglich zu aktualisieren.</w:t>
      </w:r>
    </w:p>
    <w:p>
      <w:r>
        <w:rPr>
          <w:color w:val="555555"/>
          <w:sz w:val="17"/>
        </w:rPr>
        <w:t xml:space="preserve">Zitiervorschlag: § 7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