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LkSG — Zwangsgeld</w:t>
      </w:r>
    </w:p>
    <w:p>
      <w:r>
        <w:rPr>
          <w:color w:val="555555"/>
          <w:sz w:val="18"/>
        </w:rPr>
        <w:t xml:space="preserve">Lieferkettensorgfaltspflichtengesetz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Höhe des Zwangsgeldes im Verwaltungszwangsverfahren der nach § 19 Absatz 1 Satz 1 zuständigen Behörde beträgt abweichend von § 11 Absatz 3 des Verwaltungsvollstreckungsgesetzes bis zu 50 000 Euro.</w:t>
      </w:r>
    </w:p>
    <w:p>
      <w:r>
        <w:rPr>
          <w:color w:val="555555"/>
          <w:sz w:val="17"/>
        </w:rPr>
        <w:t xml:space="preserve">Zitiervorschlag: § 23 LkSG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https://recht.nulegal.eu/gesetze/LkSG/23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