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LkSG — Ausschluss von der Vergabe öffentlicher Aufträge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Von der Teilnahme an einem Verfahren über die Vergabe eines Liefer-, Bau- oder Dienstleistungsauftrags der in den §§ 99 und 100 des Gesetzes gegen Wettbewerbsbeschränkungen genannten Auftraggeber sollen Unternehmen bis zur nachgewiesenen Selbstreinigung nach § 125 des Gesetzes gegen Wettbewerbsbeschränkungen ausgeschlossen werden, die wegen eines rechtskräftig festgestellten Verstoßes nach § 24 Absatz 1 mit einer Geldbuße nach Maßgabe von Absatz 2 belegt worden sind. Der Ausschluss nach Satz 1 darf nur innerhalb eines angemessenen Zeitraums von bis zu drei Jahren erfolgen.</w:t>
      </w:r>
    </w:p>
    <w:p>
      <w:r>
        <w:t xml:space="preserve">(2) Ein Ausschluss nach Absatz 1 setzt einen rechtskräftig festgestellten Verstoß mit einer Geldbuße von wenigstens einhundertfünfundsiebzigtausend Euro voraus. Abweichend von Satz 1 wird</w:t>
      </w:r>
    </w:p>
    <w:p>
      <w:pPr>
        <w:ind w:left="420"/>
      </w:pPr>
      <w:r>
        <w:t xml:space="preserve">1. in den Fällen des § 24 Absatz 2 Satz 2 in Verbindung mit § 24 Absatz 2 Satz 1 Nummer 2 ein rechtskräftig festgestellter Verstoß mit einer Geldbuße von wenigstens eine Million fünfhunderttausend Euro,</w:t>
      </w:r>
    </w:p>
    <w:p>
      <w:pPr>
        <w:ind w:left="420"/>
      </w:pPr>
      <w:r>
        <w:t xml:space="preserve">2. in den Fällen des § 24 Absatz 2 Satz 2 in Verbindung mit § 24 Absatz 2 Satz 1 Nummer 1 ein rechtskräftig festgestellter Verstoß mit einer Geldbuße von wenigstens zwei Millionen Euro und</w:t>
      </w:r>
    </w:p>
    <w:p>
      <w:pPr>
        <w:ind w:left="420"/>
      </w:pPr>
      <w:r>
        <w:t xml:space="preserve">3. in den Fällen des § 24 Absatz 3 ein rechtskräftig festgestellter Verstoß mit einer Geldbuße von wenigstens 0,35 Prozent des durchschnittlichen Jahresumsatzes vorausgesetzt.</w:t>
      </w:r>
    </w:p>
    <w:p>
      <w:r>
        <w:t xml:space="preserve">(3) Vor der Entscheidung über den Ausschluss ist der Bewerber zu hören.</w:t>
      </w:r>
    </w:p>
    <w:p>
      <w:r>
        <w:rPr>
          <w:color w:val="555555"/>
          <w:sz w:val="17"/>
        </w:rPr>
        <w:t xml:space="preserve">Zitiervorschlag: § 22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