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LkSG — Rechenschaftsbericht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(1) Die nach § 19 Absatz 1 Satz 1 zuständige Behörde berichtet einmal jährlich über ihre im vorausgegangenen Kalenderjahr erfolgten Kontroll- und Durchsetzungstätigkeiten nach Abschnitt 4. Der Bericht ist erstmals für das Jahr 2022 zu erstellen und auf der Webseite der zuständigen Behörde zu veröffentlichen.</w:t>
      </w:r>
    </w:p>
    <w:p>
      <w:r>
        <w:t xml:space="preserve">(2) Die Berichte sollen auf festgestellte Verstöße und angeordnete Abhilfemaßnahmen hinweisen und diese erläutern sowie eine Auswertung der eingereichten Unternehmensberichte nach § 12 enthalten, ohne die jeweils betroffenen Unternehmen zu benennen.</w:t>
      </w:r>
    </w:p>
    <w:p>
      <w:r>
        <w:rPr>
          <w:color w:val="555555"/>
          <w:sz w:val="17"/>
        </w:rPr>
        <w:t xml:space="preserve">Zitiervorschlag: § 21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