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LkSG — Handreichungen</w:t>
      </w:r>
    </w:p>
    <w:p>
      <w:r>
        <w:rPr>
          <w:color w:val="555555"/>
          <w:sz w:val="18"/>
        </w:rPr>
        <w:t xml:space="preserve">Lieferkettensorgfaltspflichtengesetz</w:t>
      </w:r>
    </w:p>
    <w:p>
      <w:r>
        <w:rPr>
          <w:color w:val="555555"/>
          <w:sz w:val="18"/>
        </w:rPr>
        <w:t xml:space="preserve">Stand: 23.07.2021 (konsolidierte Textfassung, kein amtliches Inkrafttretensdatum)</w:t>
      </w:r>
    </w:p>
    <w:p>
      <w:r>
        <w:t xml:space="preserve">Die zuständige Behörde veröffentlicht branchenübergreifende oder branchenspezifische Informationen, Hilfestellungen und Empfehlungen zur Einhaltung dieses Gesetzes und stimmt sich dabei mit den fachlich betroffenen Behörden ab. Die Informationen, Hilfestellungen oder Empfehlungen bedürfen vor Veröffentlichung der Zustimmung des Auswärtigen Amtes, insofern außenpolitische Belange davon berührt sind.</w:t>
      </w:r>
    </w:p>
    <w:p>
      <w:r>
        <w:rPr>
          <w:color w:val="555555"/>
          <w:sz w:val="17"/>
        </w:rPr>
        <w:t xml:space="preserve">Zitiervorschlag: § 20 LkSG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https://recht.nulegal.eu/gesetze/LkSG/20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