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LkSG — Zuständige Behörde</w:t>
      </w:r>
    </w:p>
    <w:p>
      <w:r>
        <w:rPr>
          <w:color w:val="555555"/>
          <w:sz w:val="18"/>
        </w:rPr>
        <w:t xml:space="preserve">Lieferkettensorgfaltspflichtengesetz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(1) Für die behördliche Kontrolle und Durchsetzung nach diesem Abschnitt ist das Bundesamt für Wirtschaft und Ausfuhrkontrolle zuständig. Für die Aufgaben nach diesem Gesetz obliegt die Rechts- und Fachaufsicht über das Bundesamt dem Bundesministerium für Wirtschaft und Energie. Das Bundesministerium für Wirtschaft und Energie übt die Rechts- und Fachaufsicht im Einvernehmen mit dem Bundesministerium für Arbeit und Soziales aus.</w:t>
      </w:r>
    </w:p>
    <w:p>
      <w:r>
        <w:t xml:space="preserve">(2) Bei der Wahrnehmung ihrer Aufgaben verfolgt die zuständige Behörde einen risikobasierten Ansatz.</w:t>
      </w:r>
    </w:p>
    <w:p>
      <w:r>
        <w:rPr>
          <w:color w:val="555555"/>
          <w:sz w:val="17"/>
        </w:rPr>
        <w:t xml:space="preserve">Zitiervorschlag: § 19 LkSG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https://recht.nulegal.eu/gesetze/LkSG/19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