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LkSG — Betretensrechte</w:t>
      </w:r>
    </w:p>
    <w:p>
      <w:r>
        <w:rPr>
          <w:color w:val="555555"/>
          <w:sz w:val="18"/>
        </w:rPr>
        <w:t xml:space="preserve">Lieferkettensorgfaltspflichtengesetz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Soweit dies zur Wahrnehmung der Aufgaben nach § 14 erforderlich ist, sind die zuständige Behörde und ihre Beauftragten befugt,</w:t>
      </w:r>
    </w:p>
    <w:p>
      <w:pPr>
        <w:ind w:left="420"/>
      </w:pPr>
      <w:r>
        <w:t xml:space="preserve">1. Betriebsgrundstücke, Geschäftsräume und Wirtschaftsgebäude der Unternehmen während der üblichen Geschäfts- oder Betriebszeiten zu betreten und zu besichtigen sowie</w:t>
      </w:r>
    </w:p>
    <w:p>
      <w:pPr>
        <w:ind w:left="420"/>
      </w:pPr>
      <w:r>
        <w:t xml:space="preserve">2. bei Unternehmen während der üblichen Geschäfts- oder Betriebszeiten geschäftliche Unterlagen und Aufzeichnungen, aus denen sich ableiten lässt, ob die Sorgfaltspflichten nach den §§ 3 bis 10 Absatz 1 eingehalten wurden, einzusehen und zu prüfen.</w:t>
      </w:r>
    </w:p>
    <w:p>
      <w:r>
        <w:rPr>
          <w:color w:val="555555"/>
          <w:sz w:val="17"/>
        </w:rPr>
        <w:t xml:space="preserve">Zitiervorschlag: § 16 LkSG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https://recht.nulegal.eu/gesetze/LkSG/16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