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LkSG — Behördliches Tätigwerden; Verordnungsermächtigung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wird tätig:</w:t>
      </w:r>
    </w:p>
    <w:p>
      <w:pPr>
        <w:ind w:left="420"/>
      </w:pPr>
      <w:r>
        <w:t xml:space="preserve">1. von Amts wegen nach pflichtgemäßem Ermessen,</w:t>
      </w:r>
    </w:p>
    <w:p>
      <w:pPr>
        <w:ind w:left="780"/>
      </w:pPr>
      <w:r>
        <w:t xml:space="preserve">a) um die Einhaltung der Pflichten nach den §§ 3 bis 10 Absatz 1 im Hinblick auf mögliche menschenrechtliche und umweltbezogene Risiken sowie Verletzungen einer menschenrechtsbezogenen oder einer umweltbezogenen Pflicht zu kontrollieren und</w:t>
      </w:r>
    </w:p>
    <w:p>
      <w:pPr>
        <w:ind w:left="780"/>
      </w:pPr>
      <w:r>
        <w:t xml:space="preserve">b) Verstöße gegen Pflichten nach Buchstabe a festzustellen, zu beseitigen und zu verhindern;</w:t>
      </w:r>
    </w:p>
    <w:p>
      <w:pPr>
        <w:ind w:left="420"/>
      </w:pPr>
      <w:r>
        <w:t xml:space="preserve">2. auf Antrag, wenn die antragstellende Person substantiiert geltend macht,</w:t>
      </w:r>
    </w:p>
    <w:p>
      <w:pPr>
        <w:ind w:left="780"/>
      </w:pPr>
      <w:r>
        <w:t xml:space="preserve">a) infolge der Nichterfüllung einer in den §§ 3 bis 9 enthaltenen Pflicht in einer geschützten Rechtsposition verletzt zu sein oder</w:t>
      </w:r>
    </w:p>
    <w:p>
      <w:pPr>
        <w:ind w:left="780"/>
      </w:pPr>
      <w:r>
        <w:t xml:space="preserve">b) dass eine in Buchstabe a genannte Verletzung unmittelbar bevorsteht.</w:t>
      </w:r>
    </w:p>
    <w:p>
      <w:r>
        <w:t xml:space="preserve">(2) Das Bundesministerium für Arbeit und Soziales wird ermächtigt, durch Rechtsverordnung im Einvernehmen mit dem Bundesministerium für Wirtschaft und Energie ohne Zustimmung des Bundesrates das Verfahren der risikobasierten Kontrolle nach Absatz 1 und den §§ 15 bis 17 näher zu regeln.</w:t>
      </w:r>
    </w:p>
    <w:p>
      <w:r>
        <w:rPr>
          <w:color w:val="555555"/>
          <w:sz w:val="17"/>
        </w:rPr>
        <w:t xml:space="preserve">Zitiervorschlag: § 14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