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LkSG — Besondere Prozessstandschaft</w:t>
      </w:r>
    </w:p>
    <w:p>
      <w:r>
        <w:rPr>
          <w:color w:val="555555"/>
          <w:sz w:val="18"/>
        </w:rPr>
        <w:t xml:space="preserve">Lieferkettensorgfaltspflichtengesetz</w:t>
      </w:r>
    </w:p>
    <w:p>
      <w:r>
        <w:rPr>
          <w:color w:val="555555"/>
          <w:sz w:val="18"/>
        </w:rPr>
        <w:t xml:space="preserve">Stand: 01.01.2023 (konsolidierte Textfassung, kein amtliches Inkrafttretensdatum)</w:t>
      </w:r>
    </w:p>
    <w:p>
      <w:r>
        <w:t xml:space="preserve">(1) Wer geltend macht, in einer überragend wichtigen geschützten Rechtsposition aus § 2 Absatz 1 verletzt zu sein, kann zur gerichtlichen Geltendmachung seiner Rechte einer inländischen Gewerkschaft oder Nichtregierungsorganisation die Ermächtigung zur Prozessführung erteilen.</w:t>
      </w:r>
    </w:p>
    <w:p>
      <w:r>
        <w:t xml:space="preserve">(2) Eine Gewerkschaft oder Nichtregierungsorganisation kann nach Absatz 1 nur ermächtigt werden, wenn sie eine auf Dauer angelegte eigene Präsenz unterhält und sich nach ihrer Satzung nicht gewerbsmäßig und nicht nur vorübergehend dafür einsetzt, die Menschenrechte oder entsprechende Rechte im nationalen Recht eines Staates zu realisieren.</w:t>
      </w:r>
    </w:p>
    <w:p>
      <w:r>
        <w:rPr>
          <w:color w:val="555555"/>
          <w:sz w:val="17"/>
        </w:rPr>
        <w:t xml:space="preserve">Zitiervorschlag: § 11 LkSG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https://recht.nulegal.eu/gesetze/LkSG/11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