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LkSG — Anwendungsbereich</w:t>
      </w:r>
    </w:p>
    <w:p>
      <w:r>
        <w:rPr>
          <w:color w:val="555555"/>
          <w:sz w:val="18"/>
        </w:rPr>
        <w:t xml:space="preserve">Lieferkettensorgfaltspflichtengesetz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Dieses Gesetz ist anzuwenden auf Unternehmen ungeachtet ihrer Rechtsform, die</w:t>
      </w:r>
    </w:p>
    <w:p>
      <w:pPr>
        <w:ind w:left="420"/>
      </w:pPr>
      <w:r>
        <w:t xml:space="preserve">1. ihre Hauptverwaltung, ihre Hauptniederlassung, ihren Verwaltungssitz oder ihren satzungsmäßigen Sitz im Inland haben und</w:t>
      </w:r>
    </w:p>
    <w:p>
      <w:pPr>
        <w:ind w:left="420"/>
      </w:pPr>
      <w:r>
        <w:t xml:space="preserve">2. in der Regel mindestens 3 000 Arbeitnehmer im Inland beschäftigen; ins Ausland entsandte Arbeitnehmer sind erfasst.</w:t>
      </w:r>
    </w:p>
    <w:p>
      <w:r>
        <w:t xml:space="preserve">Abweichend von Satz 1 Nummer 1 ist dieses Gesetz auch anzuwenden auf Unternehmen ungeachtet ihrer Rechtsform, die</w:t>
      </w:r>
    </w:p>
    <w:p>
      <w:pPr>
        <w:ind w:left="420"/>
      </w:pPr>
      <w:r>
        <w:t xml:space="preserve">1. eine Zweigniederlassung gemäß § 13d des Handelsgesetzbuchs im Inland haben und</w:t>
      </w:r>
    </w:p>
    <w:p>
      <w:pPr>
        <w:ind w:left="420"/>
      </w:pPr>
      <w:r>
        <w:t xml:space="preserve">2. in der Regel mindestens 3 000 Arbeitnehmer im Inland beschäftigen.</w:t>
      </w:r>
    </w:p>
    <w:p>
      <w:r>
        <w:t xml:space="preserve">Ab dem 1. Januar 2024 betragen die in Satz 1 Nummer 2 und Satz 2 Nummer 2 vorgesehenen Schwellenwerte jeweils 1 000 Arbeitnehmer.</w:t>
      </w:r>
    </w:p>
    <w:p>
      <w:r>
        <w:t xml:space="preserve">(2) Leiharbeitnehmer sind bei der Berechnung der Arbeitnehmerzahl (Absatz 1 Satz 1 Nummer 2 und Satz 2 Nummer 2) des Entleihunternehmens zu berücksichtigen, wenn die Einsatzdauer sechs Monate übersteigt.</w:t>
      </w:r>
    </w:p>
    <w:p>
      <w:r>
        <w:t xml:space="preserve">(3) Innerhalb von verbundenen Unternehmen (§ 15 des Aktiengesetzes) sind die im Inland beschäftigten Arbeitnehmer sämtlicher konzernangehöriger Gesellschaften bei der Berechnung der Arbeitnehmerzahl (Absatz 1 Satz 1 Nummer 2) der Obergesellschaft zu berücksichtigen; ins Ausland entsandte Arbeitnehmer sind erfasst.</w:t>
      </w:r>
    </w:p>
    <w:p>
      <w:r>
        <w:rPr>
          <w:color w:val="555555"/>
          <w:sz w:val="17"/>
        </w:rPr>
        <w:t xml:space="preserve">Zitiervorschlag: § 1 LkSG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https://recht.nulegal.eu/gesetze/LkSG/1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