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LiqV</w:t>
      </w:r>
    </w:p>
    <w:p>
      <w:r>
        <w:rPr>
          <w:color w:val="555555"/>
          <w:sz w:val="18"/>
        </w:rPr>
        <w:t xml:space="preserve">Liquiditätsverordnung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11 Abs. 1 Satz 2 des Kreditwesengesetzes, der durch Artikel 1 Nr. 16 des Gesetzes vom 17. November 2006 (BGBl. I S. 2606) neu gefasst worden ist, verordnet das Bundesministerium der Finanzen im Benehmen mit der Deutschen Bundesbank nach Anhörung der Spitzenverbände der Institute:</w:t>
      </w:r>
    </w:p>
    <w:p>
      <w:r>
        <w:rPr>
          <w:color w:val="555555"/>
          <w:sz w:val="17"/>
        </w:rPr>
        <w:t xml:space="preserve">Zitiervorschlag: Eingangsformel LiqV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https://recht.nulegal.eu/gesetze/LiqV/eingangsformel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