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LiqV — Restlaufzeiten</w:t>
      </w:r>
    </w:p>
    <w:p>
      <w:r>
        <w:rPr>
          <w:color w:val="555555"/>
          <w:sz w:val="18"/>
        </w:rPr>
        <w:t xml:space="preserve">Liquiditätsverordnung</w:t>
      </w:r>
    </w:p>
    <w:p>
      <w:r>
        <w:rPr>
          <w:color w:val="555555"/>
          <w:sz w:val="18"/>
        </w:rPr>
        <w:t xml:space="preserve">Stand: 10.06.2019 (konsolidierte Textfassung, kein amtliches Inkrafttretensdatum)</w:t>
      </w:r>
    </w:p>
    <w:p>
      <w:r>
        <w:t xml:space="preserve">Als Restlaufzeit gilt</w:t>
      </w:r>
    </w:p>
    <w:p>
      <w:pPr>
        <w:ind w:left="420"/>
      </w:pPr>
      <w:r>
        <w:t xml:space="preserve">1. der Zeitraum zwischen dem jeweiligen Meldestichtag und dem Fälligkeitstag der jeweiligen Zahlungsmittel und Zahlungsverpflichtungen vorbehaltlich der Nummern 2 bis 6,</w:t>
      </w:r>
    </w:p>
    <w:p>
      <w:pPr>
        <w:ind w:left="420"/>
      </w:pPr>
      <w:r>
        <w:t xml:space="preserve">2. die jeweilige Kündigungsfrist bei ungekündigten Kündigungsgeldern, wobei eine Kündigungssperrfrist hinzuzurechnen ist,</w:t>
      </w:r>
    </w:p>
    <w:p>
      <w:pPr>
        <w:ind w:left="420"/>
      </w:pPr>
      <w:r>
        <w:t xml:space="preserve">3. der Zeitraum zwischen dem jeweiligen Meldestichtag und der Fälligkeit des Teilbetrags bei Forderungen und Verbindlichkeiten, die regelmäßig in Teilbeträgen zu tilgen sind, ungeachtet dessen, ob die Teilbeträge einen Zinsanteil enthalten oder nicht,</w:t>
      </w:r>
    </w:p>
    <w:p>
      <w:pPr>
        <w:ind w:left="420"/>
      </w:pPr>
      <w:r>
        <w:t xml:space="preserve">4. die verbleibende Geschäftsdauer bei Sachforderungen aus echten Pensions- und Leihgeschäften mit Wertpapieren im Sinne des § 3 Abs. 1 sowie bei daraus resultierenden Sachverbindlichkeiten und Wertpapierposten des Pensionsgebers aus unechten Pensionsgeschäften,</w:t>
      </w:r>
    </w:p>
    <w:p>
      <w:pPr>
        <w:ind w:left="420"/>
      </w:pPr>
      <w:r>
        <w:t xml:space="preserve">5. die verbleibende Geschäftsdauer zuzüglich der am Ende des Geschäfts geltenden Restlaufzeiten der Wertpapiere bei Sachforderungen aus echten Pensions- und Leihgeschäften mit anderen als den unter Nummer 4 genannten Wertpapieren und bei daraus resultierenden Sachverbindlichkeiten und Wertpapierposten des Pensionsgebers aus unechten Pensionsgeschäften und</w:t>
      </w:r>
    </w:p>
    <w:p>
      <w:pPr>
        <w:ind w:left="420"/>
      </w:pPr>
      <w:r>
        <w:t xml:space="preserve">6. die verbleibende Geschäftsdauer bei Geldforderungen und Geldverbindlichkeiten aus echten und unechten Pensionsgeschäften.</w:t>
      </w:r>
    </w:p>
    <w:p>
      <w:r>
        <w:t xml:space="preserve">Vorzeitige Kündigungsmöglichkeiten sind bei Verbindlichkeiten zu berücksichtigen. Sie sind bei Forderungen und Wertpapieren im Bestand unberücksichtigt zu lassen. Bei Forderungen und Verbindlichkeiten, die regelmäßig in Teilbeträgen getilgt werden, sind die Rückzahlungsbeträge in Höhe der jeweiligen Teilbeträge in die betreffenden Laufzeitbänder einzustellen. Tagesgelder und Gelder mit täglicher Kündigung gelten nicht als täglich fällig. Sie werden wie Festgelder mit eintägiger Laufzeit behandelt.</w:t>
      </w:r>
    </w:p>
    <w:p>
      <w:r>
        <w:rPr>
          <w:color w:val="555555"/>
          <w:sz w:val="17"/>
        </w:rPr>
        <w:t xml:space="preserve">Zitiervorschlag: § 7 LiqV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https://recht.nulegal.eu/gesetze/LiqV/7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