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LiqV — Bemessungsgrundlage</w:t>
      </w:r>
    </w:p>
    <w:p>
      <w:r>
        <w:rPr>
          <w:color w:val="555555"/>
          <w:sz w:val="18"/>
        </w:rPr>
        <w:t xml:space="preserve">Liquiditätsverordnung</w:t>
      </w:r>
    </w:p>
    <w:p>
      <w:r>
        <w:rPr>
          <w:color w:val="555555"/>
          <w:sz w:val="18"/>
        </w:rPr>
        <w:t xml:space="preserve">Stand: 10.06.2019 (konsolidierte Textfassung, kein amtliches Inkrafttretensdatum)</w:t>
      </w:r>
    </w:p>
    <w:p>
      <w:r>
        <w:t xml:space="preserve">(1) Bemessungsgrundlage sind bei</w:t>
      </w:r>
    </w:p>
    <w:p>
      <w:pPr>
        <w:ind w:left="420"/>
      </w:pPr>
      <w:r>
        <w:t xml:space="preserve">1. Zahlungsmitteln nach § 3 Abs. 1 Nr. 5 und 7 die Marktkurse der zugrunde liegenden Wertpapiere bei geschäftstäglicher Marktbewertung,</w:t>
      </w:r>
    </w:p>
    <w:p>
      <w:pPr>
        <w:ind w:left="420"/>
      </w:pPr>
      <w:r>
        <w:t xml:space="preserve">2. Zahlungsmitteln nach § 3 Abs. 1 Nr. 6 die nach den entsprechenden Bewertungsgrundsätzen der jeweiligen Zentralnotenbank ermittelten Werte der zugrunde liegenden Vermögensgegenstände abzüglich dem von der jeweiligen Zentralnotenbank vorgesehenen Bewertungsabschlag,</w:t>
      </w:r>
    </w:p>
    <w:p>
      <w:pPr>
        <w:ind w:left="420"/>
      </w:pPr>
      <w:r>
        <w:t xml:space="preserve">3. Zahlungsmitteln nach § 3 Abs. 1 Nr. 8 die Rücknahmepreise,</w:t>
      </w:r>
    </w:p>
    <w:p>
      <w:pPr>
        <w:ind w:left="420"/>
      </w:pPr>
      <w:r>
        <w:t xml:space="preserve">4. Zahlungsmitteln nach § 3 Abs. 2 Nr. 8 und Zahlungsverpflichtungen nach § 4 Abs. 2 Nr. 7 bis 9 die Rückzahlungsbeträge,</w:t>
      </w:r>
    </w:p>
    <w:p>
      <w:pPr>
        <w:ind w:left="420"/>
      </w:pPr>
      <w:r>
        <w:t xml:space="preserve">5. Wertpapierposten und wertpapierbezogenen Sachforderungen und Sachverbindlichkeiten im Rahmen von Pensions- und Leihgeschäften die Marktkurse der Wertpapiere bei geschäftstäglicher Marktbewertung,</w:t>
      </w:r>
    </w:p>
    <w:p>
      <w:pPr>
        <w:ind w:left="420"/>
      </w:pPr>
      <w:r>
        <w:t xml:space="preserve">6. den übrigen Zahlungsmitteln und Zahlungsverpflichtungen die Buchwerte.</w:t>
      </w:r>
    </w:p>
    <w:p>
      <w:r>
        <w:t xml:space="preserve">Marktkurse sind die am jeweiligen Meldestichtag amtlich festgestellten Kurse oder, falls nicht verfügbar, die vom Institut ermittelten Marktwerte. Werden die Wertpapiere an mehreren Märkten amtlich notiert, so verwendet das Institut Marktkurse nach einer institutsintern festgelegten Methode, die einheitlich und dauerhaft anzuwenden und zu dokumentieren ist. Die Ermittlung der Marktwerte ist vom Institut für den letzten Meldestichtag, die Meldestichtage der vergangenen 24 Monate sowie für den laufenden Meldezeitraum zu dokumentieren und auf Verlangen der Bundesanstalt vorzulegen. Mit Ausnahme der Zahlungsmittel nach Satz 1 Nr. 2 dürfen Schuldverschreibungen und andere festverzinsliche Wertpapiere im Bestand in Höhe von 90 Prozent des Buchwerts und börsennotierte Aktien und andere nicht festverzinsliche Wertpapiere im Bestand in Höhe von 80 Prozent des Buchwerts angesetzt werden, wenn das Institut keine geschäftstägliche Marktbewertung durchführt. Von den Buchwerten der Aktivposten sind Wertberichtigungen für das Länderrisiko, Pauschalwertberichtigungen und Einzelwertberichtigungen abzusetzen, wenn diese die Anrechnung der Aktivposten nach § 3 Abs. 3 Nr. 1 nicht ausschließen.</w:t>
      </w:r>
    </w:p>
    <w:p>
      <w:r>
        <w:t xml:space="preserve">(2) Ist ein Institut aus meldetechnischen Gründen nicht im Stande, die Wertberichtigungen von den jeweiligen Aktivposten abzuziehen, kann es ein vereinfachtes Verfahren zur Absetzung der Wertberichtigungen anwenden. Bei diesem Verfahren sind, entsprechend dem Anteil der anrechenbaren Liquiditätsposten an der Gesamtsumme sämtlicher Aktiva, auf die sich die Wertberichtigungen beziehen, die insgesamt gebildeten Wertberichtigungen von den Zahlungsmitteln</w:t>
      </w:r>
    </w:p>
    <w:p>
      <w:pPr>
        <w:ind w:left="420"/>
      </w:pPr>
      <w:r>
        <w:t xml:space="preserve">a) des Laufzeitbandes 1 (Standardverfahren) oder</w:t>
      </w:r>
    </w:p>
    <w:p>
      <w:pPr>
        <w:ind w:left="420"/>
      </w:pPr>
      <w:r>
        <w:t xml:space="preserve">b) aus allen Laufzeitbändern (alternatives Verfahren)</w:t>
      </w:r>
    </w:p>
    <w:p>
      <w:r>
        <w:t xml:space="preserve">abzusetzen. Entscheidet sich ein Institut für das alternative Verfahren, hat es beim Abzug der Wertberichtigungen die den Zahlungsmitteln zugrunde liegende Laufzeitstruktur zu berücksichtigen. Einzelwertberichtigungen, die eine Nichtanrechnung der betreffenden Forderungen und Wechsel bewirken, dürfen unberücksichtigt bleiben. Institute, die beabsichtigen, das vereinfachte Verfahren in Anspruch zu nehmen, müssen dies der Bundesanstalt und der Deutschen Bundesbank vor erstmaliger Anwendung anzeigen. In der Anzeige ist anzugeben, auf welche Wertberichtigungen das Verfahren angewandt wird und welche Aktiva einbezogen werden. Die Bundesanstalt kann die Anwendung des vereinfachten Verfahrens untersagen, wenn begründete Zweifel bestehen, dass die aus Wertberichtigungen resultierenden liquiditätseinschränkenden Effekte nicht ausreichend abgebildet werden.</w:t>
      </w:r>
    </w:p>
    <w:p>
      <w:r>
        <w:t xml:space="preserve">(3) Eine auf eine fremde Währung lautende Position ist zu dem Referenzkurs, der von der Europäischen Zentralbank am Meldestichtag festgestellt und von der Deutschen Bundesbank veröffentlicht worden ist (Euro-Referenzkurs), in Euro umzurechnen. Bei der Umrechnung von Währungen, für die kein Euro-Referenzkurs veröffentlicht wird, sind die Mittelkurse aus feststellbaren An- und Verkaufskursen des Stichtages zugrunde zu legen.</w:t>
      </w:r>
    </w:p>
    <w:p>
      <w:r>
        <w:t xml:space="preserve">(4) Institute dürfen abweichend von Absatz 3 intern verwendete Fremdwährungsumrechnungskurse aus eigenen Risikomodellen, die für aufsichtliche Zwecke zugelassen sind, weiterhin berücksichtigen, wenn sie diese bereits vor dem 1. Januar 2014 konsistent berücksichtigt haben.</w:t>
      </w:r>
    </w:p>
    <w:p>
      <w:r>
        <w:rPr>
          <w:color w:val="555555"/>
          <w:sz w:val="17"/>
        </w:rPr>
        <w:t xml:space="preserve">Zitiervorschlag: § 6 LiqV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https://recht.nulegal.eu/gesetze/LiqV/6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