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LiqV — Zahlungsverpflichtungen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Zahlungsverpflichtungen sind im Laufzeitband 1 zu erfassen</w:t>
      </w:r>
    </w:p>
    <w:p>
      <w:pPr>
        <w:ind w:left="420"/>
      </w:pPr>
      <w:r>
        <w:t xml:space="preserve">1. 40 Prozent der täglich fälligen Verbindlichkeiten gegenüber Kreditinstituten,</w:t>
      </w:r>
    </w:p>
    <w:p>
      <w:pPr>
        <w:ind w:left="420"/>
      </w:pPr>
      <w:r>
        <w:t xml:space="preserve">2. 10 Prozent der täglich fälligen Verbindlichkeiten gegenüber Kunden,</w:t>
      </w:r>
    </w:p>
    <w:p>
      <w:pPr>
        <w:ind w:left="420"/>
      </w:pPr>
      <w:r>
        <w:t xml:space="preserve">3. 10 Prozent der Spareinlagen im Sinne von § 21 Abs. 4 der Kreditinstituts-Rechnungslegungsverordnung,</w:t>
      </w:r>
    </w:p>
    <w:p>
      <w:pPr>
        <w:ind w:left="420"/>
      </w:pPr>
      <w:r>
        <w:t xml:space="preserve">4. 5 Prozent der Eventualverbindlichkeiten aus weitergegebenen Wechseln,</w:t>
      </w:r>
    </w:p>
    <w:p>
      <w:pPr>
        <w:ind w:left="420"/>
      </w:pPr>
      <w:r>
        <w:t xml:space="preserve">5. 5 Prozent der Eventualverbindlichkeiten aus übernommenen Bürgschafts- oder Gewährleistungsverpflichtungen,</w:t>
      </w:r>
    </w:p>
    <w:p>
      <w:pPr>
        <w:ind w:left="420"/>
      </w:pPr>
      <w:r>
        <w:t xml:space="preserve">6. 5 Prozent des Haftungsbetrags aus der Bestellung von Sicherheiten für fremde Verbindlichkeiten,</w:t>
      </w:r>
    </w:p>
    <w:p>
      <w:pPr>
        <w:ind w:left="420"/>
      </w:pPr>
      <w:r>
        <w:t xml:space="preserve">7. 20 Prozent der Platzierungs- oder Übernahmeverpflichtungen und</w:t>
      </w:r>
    </w:p>
    <w:p>
      <w:pPr>
        <w:ind w:left="420"/>
      </w:pPr>
      <w:r>
        <w:t xml:space="preserve">8. 20 Prozent der noch nicht in Anspruch genommenen, unwiderruflich zugesagten Kredite, wenn sie nicht nach Absatz 2 Nr. 12 oder Absatz 3 zu erfassen sind.</w:t>
      </w:r>
    </w:p>
    <w:p>
      <w:r>
        <w:t xml:space="preserve">(2) Als Zahlungsverpflichtungen sind entsprechend ihren Restlaufzeiten in den Laufzeitbändern 1 bis 4 zu erfassen</w:t>
      </w:r>
    </w:p>
    <w:p>
      <w:pPr>
        <w:ind w:left="420"/>
      </w:pPr>
      <w:r>
        <w:t xml:space="preserve">1. Verbindlichkeiten gegenüber einer Zentralnotenbank,</w:t>
      </w:r>
    </w:p>
    <w:p>
      <w:pPr>
        <w:ind w:left="420"/>
      </w:pPr>
      <w:r>
        <w:t xml:space="preserve">2. Verbindlichkeiten gegenüber Kreditinstituten,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Verbindlichkeiten gegenüber Kunden, soweit sie nicht unter Nummer 12 fallen,</w:t>
      </w:r>
    </w:p>
    <w:p>
      <w:pPr>
        <w:ind w:left="420"/>
      </w:pPr>
      <w:r>
        <w:t xml:space="preserve">5. Sachverbindlichkeiten des entleihenden Instituts zur Rückgabe entliehener Wertpapiere,</w:t>
      </w:r>
    </w:p>
    <w:p>
      <w:pPr>
        <w:ind w:left="420"/>
      </w:pPr>
      <w:r>
        <w:t xml:space="preserve">6. Sachverbindlichkeiten des Pensionsnehmers aus der Rückgabepflicht von Wertpapieren im Rahmen von echten Wertpapierpensionsgeschäften,</w:t>
      </w:r>
    </w:p>
    <w:p>
      <w:pPr>
        <w:ind w:left="420"/>
      </w:pPr>
      <w:r>
        <w:t xml:space="preserve">7. Geldverbindlichkeiten des Pensionsgebers aus unechten Pensionsgeschäften in Höhe des vereinbarten Rückzahlungsbetrags, wenn der aktuelle Marktwert der übertragenen Wertpapiere unter diesem liegt,</w:t>
      </w:r>
    </w:p>
    <w:p>
      <w:pPr>
        <w:ind w:left="420"/>
      </w:pPr>
      <w:r>
        <w:t xml:space="preserve">8. verbriefte Verbindlichkeiten,</w:t>
      </w:r>
    </w:p>
    <w:p>
      <w:pPr>
        <w:ind w:left="420"/>
      </w:pPr>
      <w:r>
        <w:t xml:space="preserve">9. nachrangige Verbindlichkeiten,</w:t>
      </w:r>
    </w:p>
    <w:p>
      <w:pPr>
        <w:ind w:left="420"/>
      </w:pPr>
      <w:r>
        <w:t xml:space="preserve">10. Genussrechtskapital,</w:t>
      </w:r>
    </w:p>
    <w:p>
      <w:pPr>
        <w:ind w:left="420"/>
      </w:pPr>
      <w:r>
        <w:t xml:space="preserve">11. sonstige Verbindlichkeiten und</w:t>
      </w:r>
    </w:p>
    <w:p>
      <w:pPr>
        <w:ind w:left="420"/>
      </w:pPr>
      <w:r>
        <w:t xml:space="preserve">12. 20 Prozent des nicht in Anspruch genommenen Teils von Verbriefungs-Liquiditätsfazilitäten im Sinne des Artikels 255 Absatz 1 der Verordnung (EU) Nr. 575/2013, die nicht jederzeit fristlos und bedingungslos vom Institut gekündigt werden können, wenn eine Inanspruchnahme zwischen den Refinanzierungsterminen für die Verbriefungstransaktion ausgeschlossen ist,</w:t>
      </w:r>
    </w:p>
    <w:p>
      <w:r>
        <w:t xml:space="preserve">wenn die jeweiligen Restlaufzeiten zum Meldestichtag ein Jahr nicht übersteigen.</w:t>
      </w:r>
    </w:p>
    <w:p>
      <w:r>
        <w:t xml:space="preserve">(3) Die während der auf den Meldestichtag folgenden zwölf Monate erwarteten Inanspruchnahmen unwiderruflich zugesagter Investitionskredite und grundpfandrechtlich gesicherter Darlehen, die nach Baufortschritt ausgezahlt werden, sind zu erfassen in Höhe von</w:t>
      </w:r>
    </w:p>
    <w:p>
      <w:pPr>
        <w:ind w:left="420"/>
      </w:pPr>
      <w:r>
        <w:t xml:space="preserve">1. 12 Prozent im Laufzeitband 1,</w:t>
      </w:r>
    </w:p>
    <w:p>
      <w:pPr>
        <w:ind w:left="420"/>
      </w:pPr>
      <w:r>
        <w:t xml:space="preserve">2. 16 Prozent im Laufzeitband 2,</w:t>
      </w:r>
    </w:p>
    <w:p>
      <w:pPr>
        <w:ind w:left="420"/>
      </w:pPr>
      <w:r>
        <w:t xml:space="preserve">3. 24 Prozent im Laufzeitband 3 und</w:t>
      </w:r>
    </w:p>
    <w:p>
      <w:pPr>
        <w:ind w:left="420"/>
      </w:pPr>
      <w:r>
        <w:t xml:space="preserve">4. 48 Prozent im Laufzeitband 4.</w:t>
      </w:r>
    </w:p>
    <w:p>
      <w:r>
        <w:rPr>
          <w:color w:val="555555"/>
          <w:sz w:val="17"/>
        </w:rPr>
        <w:t xml:space="preserve">Zitiervorschlag: § 4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