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LiqV — Zahlungsmittel</w:t>
      </w:r>
    </w:p>
    <w:p>
      <w:r>
        <w:rPr>
          <w:color w:val="555555"/>
          <w:sz w:val="18"/>
        </w:rPr>
        <w:t xml:space="preserve">Liquiditätsverordnung</w:t>
      </w:r>
    </w:p>
    <w:p>
      <w:r>
        <w:rPr>
          <w:color w:val="555555"/>
          <w:sz w:val="18"/>
        </w:rPr>
        <w:t xml:space="preserve">Stand: 10.06.2019 (konsolidierte Textfassung, kein amtliches Inkrafttretensdatum)</w:t>
      </w:r>
    </w:p>
    <w:p>
      <w:r>
        <w:t xml:space="preserve">(1) Als Zahlungsmittel sind im Laufzeitband 1 vorbehaltlich Absatz 3 zu erfassen</w:t>
      </w:r>
    </w:p>
    <w:p>
      <w:pPr>
        <w:ind w:left="420"/>
      </w:pPr>
      <w:r>
        <w:t xml:space="preserve">1. Kassenbestand,</w:t>
      </w:r>
    </w:p>
    <w:p>
      <w:pPr>
        <w:ind w:left="420"/>
      </w:pPr>
      <w:r>
        <w:t xml:space="preserve">2. Guthaben bei Zentralnotenbanken,</w:t>
      </w:r>
    </w:p>
    <w:p>
      <w:pPr>
        <w:ind w:left="420"/>
      </w:pPr>
      <w:r>
        <w:t xml:space="preserve">3. Inkassopapiere,</w:t>
      </w:r>
    </w:p>
    <w:p>
      <w:pPr>
        <w:ind w:left="420"/>
      </w:pPr>
      <w:r>
        <w:t xml:space="preserve">4. unwiderrufliche Kreditzusagen, die das Institut von einem anderen Kreditinstitut oder der Kreditanstalt für Wiederaufbau erhalten hat,</w:t>
      </w:r>
    </w:p>
    <w:p>
      <w:pPr>
        <w:ind w:left="420"/>
      </w:pPr>
      <w:r>
        <w:t xml:space="preserve">5. nicht wie Anlagevermögen bewertete Wertpapiere, die zum Handel an einer anerkannten Börse im Sinne des Artikels 4 Absatz 1 Nummer 72 der Verordnung (EU) Nr. 575/2013 in einem Staat des Europäischen Wirtschaftsraums oder an einer Wertpapierbörse nach § 1 Absatz 3e des Kreditwesengesetzes zugelassen sind (börsennotierte Wertpapiere), einschließlich der dem Institut als Pensionsnehmer oder Entleiher im Rahmen von Pensionsgeschäften oder Leihgeschäften übertragenen Papiere,</w:t>
      </w:r>
    </w:p>
    <w:p>
      <w:pPr>
        <w:ind w:left="420"/>
      </w:pPr>
      <w:r>
        <w:t xml:space="preserve">6. Vermögensgegenstände, die von der Europäischen Zentralbank oder der Zentralnotenbank eines Staates, dessen unbesicherte Zahlungsverpflichtungen ein Risikogewicht nach Artikel 114 der Verordnung (EU) Nr. 575/2013 von 0 Prozent erhalten würden, nach dem jeweiligen Verzeichnis als refinanzierungsfähige Sicherheiten anerkannt werden, wobei das Kreditinstitut im Sitzland der Zentralnotenbank eine Zweigniederlassung haben muss, wenn diese nicht dem Europäischen System der Zentralbanken angehört, einschließlich der dem Institut als Pensionsnehmer oder Entleiher im Rahmen von Pensionsgeschäften oder Leihgeschäften übertragenen Vermögensgegenstände, sofern nicht bereits nach Nummer 5 erfasst (bei nullgewichteten Zentralnotenbanken refinanzierungsfähige Vermögensgegenstände),</w:t>
      </w:r>
    </w:p>
    <w:p>
      <w:pPr>
        <w:ind w:left="420"/>
      </w:pPr>
      <w:r>
        <w:t xml:space="preserve">7. nicht wie Anlagevermögen bewertete gedeckte Schuldverschreibungen nach Artikel 129 der Verordnung (EU) Nr. 575/2013, einschließlich der dem Institut als Pensionsnehmer oder Entleiher im Rahmen von Pensionsgeschäften oder Leihgeschäften übertragenen gedeckten Schuldverschreibungen, und</w:t>
      </w:r>
    </w:p>
    <w:p>
      <w:pPr>
        <w:ind w:left="420"/>
      </w:pPr>
      <w:r>
        <w:t xml:space="preserve">8. in Höhe von 90 Prozent der jeweiligen Rücknahmepreise nicht wie Anlagevermögen bewertete Anteile an inländischen OGAW-Sondervermögen, inländischen Spezialsondervermögen, deren Anlagebedingungen Anlagegrundsätze und -grenzen vorsehen, die denen von inländischen OGAW entsprechen, und EU-OGAW, soweit deren Rücknahme- und Abwicklungsregelungen denen für Publikumssondervermögen entsprechen; die Anlagebedingungen der Sondervermögen müssen sicherstellen, dass die Anteilseigner ihre Anteile börsentäglich zurückgeben können und die Rücknahme entgegen § 98 Absatz 2 des Kapitalanlagegesetzbuchs nicht verweigert werden kann.</w:t>
      </w:r>
    </w:p>
    <w:p>
      <w:r>
        <w:t xml:space="preserve">(2) Als Zahlungsmittel sind entsprechend ihren Restlaufzeiten in den Laufzeitbändern 1 bis 4 vorbehaltlich Absatz 3 zu erfassen</w:t>
      </w:r>
    </w:p>
    <w:p>
      <w:pPr>
        <w:ind w:left="420"/>
      </w:pPr>
      <w:r>
        <w:t xml:space="preserve">1. Forderungen an Zentralnotenbanken,</w:t>
      </w:r>
    </w:p>
    <w:p>
      <w:pPr>
        <w:ind w:left="420"/>
      </w:pPr>
      <w:r>
        <w:t xml:space="preserve">2. Forderungen an Kreditinstitute,</w:t>
      </w:r>
    </w:p>
    <w:p>
      <w:pPr>
        <w:ind w:left="420"/>
      </w:pPr>
      <w:r>
        <w:t xml:space="preserve">3. Forderungen an Kunden,</w:t>
      </w:r>
    </w:p>
    <w:p>
      <w:pPr>
        <w:ind w:left="420"/>
      </w:pPr>
      <w:r>
        <w:t xml:space="preserve">4. bei Zentralnotenbanken refinanzierbare Wechsel, die nicht bereits unter die Nummer 2 oder 3 fallen,</w:t>
      </w:r>
    </w:p>
    <w:p>
      <w:pPr>
        <w:ind w:left="420"/>
      </w:pPr>
      <w:r>
        <w:t xml:space="preserve">5. Sachforderungen des verleihenden Instituts auf Rückgabe der verliehenen Wertpapiere,</w:t>
      </w:r>
    </w:p>
    <w:p>
      <w:pPr>
        <w:ind w:left="420"/>
      </w:pPr>
      <w:r>
        <w:t xml:space="preserve">6. andere als die unter Absatz 1 erfassten Schuldverschreibungen und andere festverzinsliche Wertpapiere, einschließlich der dem Institut als Pensionsnehmer oder Entleiher im Rahmen von Pensionsgeschäften oder Leihgeschäften übertragenen festverzinslichen Wertpapiere,</w:t>
      </w:r>
    </w:p>
    <w:p>
      <w:pPr>
        <w:ind w:left="420"/>
      </w:pPr>
      <w:r>
        <w:t xml:space="preserve">7. Sachforderungen des Pensionsgebers auf Rückübertragung von Wertpapieren im Rahmen echter Pensionsgeschäfte,</w:t>
      </w:r>
    </w:p>
    <w:p>
      <w:pPr>
        <w:ind w:left="420"/>
      </w:pPr>
      <w:r>
        <w:t xml:space="preserve">8. Geldforderungen des Pensionsnehmers aus unechten Pensionsgeschäften in Höhe des vereinbarten Rückzahlungsbetrags, wenn der aktuelle Marktwert der übertragenen Wertpapiere unter diesem liegt, und</w:t>
      </w:r>
    </w:p>
    <w:p>
      <w:pPr>
        <w:ind w:left="420"/>
      </w:pPr>
      <w:r>
        <w:t xml:space="preserve">9. Ausgleichsforderungen gegen die öffentliche Hand (insbesondere Ausgleichsfonds Währungsumstellung), einschließlich Schuldverschreibungen aus deren Umtausch, soweit sie nicht von Absatz 1 Nr. 5 erfasst werden,</w:t>
      </w:r>
    </w:p>
    <w:p>
      <w:r>
        <w:t xml:space="preserve">soweit die jeweiligen Restlaufzeiten zum Meldestichtag die Dauer eines Jahres nicht übersteigen.</w:t>
      </w:r>
    </w:p>
    <w:p>
      <w:r>
        <w:t xml:space="preserve">(3) Keine liquiditätswirksamen Zahlungsmittel im Sinne der Absätze 1 und 2 sind</w:t>
      </w:r>
    </w:p>
    <w:p>
      <w:pPr>
        <w:ind w:left="420"/>
      </w:pPr>
      <w:r>
        <w:t xml:space="preserve">1. Forderungen und Wechsel, auf die Einzelwertberichtigungen gebildet worden sind, wenn aktuelle Leistungsstörungen vorliegen,</w:t>
      </w:r>
    </w:p>
    <w:p>
      <w:pPr>
        <w:ind w:left="420"/>
      </w:pPr>
      <w:r>
        <w:t xml:space="preserve">2. Beteiligungen und Anteile an verbundenen Unternehmen,</w:t>
      </w:r>
    </w:p>
    <w:p>
      <w:pPr>
        <w:ind w:left="420"/>
      </w:pPr>
      <w:r>
        <w:t xml:space="preserve">3. zurückgekaufte Schuldverschreibungen eigener Emissionen, die die Voraussetzungen des Artikels 129 der Verordnung (EU) Nr. 575/2013 nicht erfüllen,</w:t>
      </w:r>
    </w:p>
    <w:p>
      <w:pPr>
        <w:ind w:left="420"/>
      </w:pPr>
      <w:r>
        <w:t xml:space="preserve">4. im Rahmen von Pensionsgeschäften oder Leihgeschäften übertragene Wertpapiere für die Dauer des Geschäfts beim Pensionsgeber oder Verleiher,</w:t>
      </w:r>
    </w:p>
    <w:p>
      <w:pPr>
        <w:ind w:left="420"/>
      </w:pPr>
      <w:r>
        <w:t xml:space="preserve">5. als Sicherheiten gestellte Wertpapiere, die der Verfügung durch das Institut entzogen sind, für den Zeitraum der Sicherheitenbestellung, es sei denn, sie sind bei einer Zentralnotenbank des Europäischen Systems der Zentralbanken verpfändet, und</w:t>
      </w:r>
    </w:p>
    <w:p>
      <w:pPr>
        <w:ind w:left="420"/>
      </w:pPr>
      <w:r>
        <w:t xml:space="preserve">6. andere als die in Absatz 1 Nr. 8 aufgeführten Investmentanteile, soweit sie nicht von Absatz 1 Nr. 5 als Zahlungsmittel erfasst sind.</w:t>
      </w:r>
    </w:p>
    <w:p>
      <w:r>
        <w:rPr>
          <w:color w:val="555555"/>
          <w:sz w:val="17"/>
        </w:rPr>
        <w:t xml:space="preserve">Zitiervorschlag: § 3 LiqV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https://recht.nulegal.eu/gesetze/LiqV/3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