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LiqV — Ausreichende Liquidität</w:t>
      </w:r>
    </w:p>
    <w:p>
      <w:r>
        <w:rPr>
          <w:color w:val="555555"/>
          <w:sz w:val="18"/>
        </w:rPr>
        <w:t xml:space="preserve">Liquiditätsverordnung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Liquidität eines Instituts gilt als ausreichend, wenn die zu ermittelnde Liquiditätskennzahl den Wert eins nicht unterschreitet. Die Liquiditätskennzahl gibt das Verhältnis zwischen den im Laufzeitband 1 verfügbaren Zahlungsmitteln und den während dieses Zeitraumes abrufbaren Zahlungsverpflichtungen an. Zahlungsmittel und Zahlungsverpflichtungen sind jeweils einem der folgenden Laufzeitbänder zuzuordnen: fällig</w:t>
      </w:r>
    </w:p>
    <w:p>
      <w:pPr>
        <w:ind w:left="420"/>
      </w:pPr>
      <w:r>
        <w:t xml:space="preserve">1. täglich oder in bis zu einem Monat (Laufzeitband 1),</w:t>
      </w:r>
    </w:p>
    <w:p>
      <w:pPr>
        <w:ind w:left="420"/>
      </w:pPr>
      <w:r>
        <w:t xml:space="preserve">2. in über einem Monat bis zu drei Monaten (Laufzeitband 2),</w:t>
      </w:r>
    </w:p>
    <w:p>
      <w:pPr>
        <w:ind w:left="420"/>
      </w:pPr>
      <w:r>
        <w:t xml:space="preserve">3. in über drei Monaten bis zu sechs Monaten (Laufzeitband 3),</w:t>
      </w:r>
    </w:p>
    <w:p>
      <w:pPr>
        <w:ind w:left="420"/>
      </w:pPr>
      <w:r>
        <w:t xml:space="preserve">4. in über sechs Monaten bis zu zwölf Monaten (Laufzeitband 4).</w:t>
      </w:r>
    </w:p>
    <w:p>
      <w:r>
        <w:t xml:space="preserve">(2) Das Institut hat Beobachtungskennzahlen zu berechnen, die das Verhältnis zwischen den jeweiligen Zahlungsmitteln und den Zahlungsverpflichtungen in den Laufzeitbändern nach Absatz 1 Satz 3 Nr. 2 bis 4 angeben. Die Ermittlung der Beobachtungskennzahlen erfolgt entsprechend der Berechnung der Liquiditätskennzahl nach Absatz 1 Satz 2. Überschreiten die in einem Laufzeitband vorhandenen Zahlungsmittel die abrufbaren Zahlungsverpflichtungen, ist der Unterschiedsbetrag als zusätzliches Zahlungsmittel bei der Ermittlung der Beobachtungskennzahl in dem nächsthöheren Laufzeitband zu berücksichtigen.</w:t>
      </w:r>
    </w:p>
    <w:p>
      <w:r>
        <w:rPr>
          <w:color w:val="555555"/>
          <w:sz w:val="17"/>
        </w:rPr>
        <w:t xml:space="preserve">Zitiervorschlag: § 2 LiqV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https://recht.nulegal.eu/gesetze/LiqV/2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