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LiqV — Verwendung von institutseigenen Liquiditätsrisikomess- und -steuerungsverfahren</w:t>
      </w:r>
    </w:p>
    <w:p>
      <w:r>
        <w:rPr>
          <w:color w:val="555555"/>
          <w:sz w:val="18"/>
        </w:rPr>
        <w:t xml:space="preserve">Liquiditätsverordnung</w:t>
      </w:r>
    </w:p>
    <w:p>
      <w:r>
        <w:rPr>
          <w:color w:val="555555"/>
          <w:sz w:val="18"/>
        </w:rPr>
        <w:t xml:space="preserve">Stand: 01.04.2026 (konsolidierte Textfassung, kein amtliches Inkrafttretensdatum)</w:t>
      </w:r>
    </w:p>
    <w:p>
      <w:r>
        <w:t xml:space="preserve">(1) Zur Beurteilung der ausreichenden Liquidität darf das Institut nach dauerhafter Wahl mit Zustimmung der Bundesanstalt anstelle der §§ 2 bis 7 ein eigenes Liquiditätsrisikomess- und -steuerungsverfahren verwenden, wenn die Voraussetzungen nach Absatz 3 erfüllt werden und die Bundesanstalt dessen Eignung für die Zwecke dieser Verordnung auf Antrag des Instituts schriftlich bestätigt hat. Die Bundesanstalt kann ihre Zustimmung an Nebenbestimmungen, insbesondere Auflagen, knüpfen und eine bereits erteilte Zustimmung widerrufen, wenn das Institut die Voraussetzungen nach Absatz 3 nicht mehr erfüllt.</w:t>
      </w:r>
    </w:p>
    <w:p>
      <w:r>
        <w:t xml:space="preserve">(2) Die Eignung eines institutseigenen Liquiditätsrisikomess- und -steuerungsverfahrens wird auf der Grundlage einer von der Bundesanstalt in Zusammenarbeit mit der Deutschen Bundesbank durchgeführten Prüfung nach § 44 Absatz 1 Satz 3 des Kreditwesengesetzes beurteilt und nach erteilter Eignungsbestätigung durch Nachschauprüfungen überprüft. Wesentliche Änderungen des Liquiditätsrisikomess- und -steuerungsverfahrens bedürfen einer erneuten Eignungsbestätigung nach Absatz 1.</w:t>
      </w:r>
    </w:p>
    <w:p>
      <w:r>
        <w:t xml:space="preserve">(3) Das Institut hat insbesondere die folgenden Voraussetzungen für die Verwendung eines eigenen Liquiditätsrisikomess- und -steuerungsverfahrens zu erfüllen:</w:t>
      </w:r>
    </w:p>
    <w:p>
      <w:pPr>
        <w:ind w:left="420"/>
      </w:pPr>
      <w:r>
        <w:t xml:space="preserve">1. Das Liquiditätsrisikomess- und -steuerungsverfahren gewährleistet unter Berücksichtigung der besonderen institutsspezifischen Verhältnisse, der Art und Komplexität der betriebenen Geschäfte und der Größe des Instituts eine adäquate laufende Ermittlung und Überwachung des Liquiditätsrisikos und stellt die Liquiditätslage eingehender und angemessener dar, als bei Anwendung der §§ 2 bis 7. Insbesondere soll das Liquiditätsrisikomess- und -steuerungsverfahren dabei auch Aufschluss über zu erwartende kurzfristige Nettomittelabflüsse, die Möglichkeit zur Aufnahme unbesicherter Finanzierungsmittel sowie die Auswirkung von Stressszenarien ermöglichen. Das Institut überprüft regelmäßig die Einhaltung der Voraussetzungen nach Satz 1.</w:t>
      </w:r>
    </w:p>
    <w:p>
      <w:pPr>
        <w:ind w:left="420"/>
      </w:pPr>
      <w:r>
        <w:t xml:space="preserve">2. Das Institut hat auf der Grundlage des Liquiditätsrisikomess- und -steuerungsverfahrens geeignete, quantitativ zu bemessende Obergrenzen für Liquiditätsrisiken, auch unter Berücksichtigung von Stressszenarien, eingerichtet (Limite), die es regelmäßig überprüft. Dazu identifiziert das Institut Kenngrößen aus seinem Liquiditätsrisikomessverfahren, die für eine aggregierte Darstellung des Risikos einer nicht ausreichenden Liquidität des Instituts besonders geeignet sind, und dokumentiert, bei welchem Niveau dieser Größen es sich einem nennenswerten, mittleren und hohen Risiko einer nicht ausreichenden Liquidität ausgesetzt sieht, sowie welche Maßnahmen es an das Erreichen eines der benannten Niveaus durch eine der Kenngrößen knüpft.</w:t>
      </w:r>
    </w:p>
    <w:p>
      <w:pPr>
        <w:ind w:left="420"/>
      </w:pPr>
      <w:r>
        <w:t xml:space="preserve">3. Das Institut zeigt der Deutschen Bundesbank und der Bundesanstalt schriftlich unverzüglich an, wenn eine der Kenngrößen nach Nummer 2 das Niveau für ein mittleres oder hohes Risiko einer nicht ausreichenden Liquidität überschreitet und berichtet über die Maßnahmen, die es zur Beseitigung der Gefährdung getroffen hat und zu treffen beabsichtigt. Die Pflicht zur Meldung der Kennzahlen nach § 11 bleibt unberührt.</w:t>
      </w:r>
    </w:p>
    <w:p>
      <w:pPr>
        <w:ind w:left="420"/>
      </w:pPr>
      <w:r>
        <w:t xml:space="preserve">4. Das Liquiditätsrisikomess- und -steuerungsverfahren und das interne Limitsystem werden für das interne Liquiditätsrisikomanagement und in der Unternehmenssteuerung des Instituts verwendet.</w:t>
      </w:r>
    </w:p>
    <w:p>
      <w:r>
        <w:t xml:space="preserve">(4) Ein Institut mit Sitz im Inland, das nachgeordnetes Unternehmen einer Institutsgruppe oder einer Finanzholding-Gruppe ist und die Voraussetzungen nach § 2a Absatz 5 des Kreditwesengesetzes erfüllt, oder das übergeordnetes Unternehmen ist und die Voraussetzungen nach § 2a Absatz 5 des Kreditwesengesetzes erfüllt, darf nach dauerhafter Wahl mit Zustimmung der Bundesanstalt von der Anwendung der §§ 2 bis 7 absehen, wenn die Institutsgruppe oder die Finanzholding-Gruppe, der das Institut angehört, ein eigenes Liquiditätsrisikomess- und -steuerungsverfahren verwendet und die Bundesanstalt dessen Eignung schriftlich bestätigt hat. Die Absätze 1 bis 3 gelten entsprechend.</w:t>
      </w:r>
    </w:p>
    <w:p>
      <w:r>
        <w:rPr>
          <w:color w:val="555555"/>
          <w:sz w:val="17"/>
        </w:rPr>
        <w:t xml:space="preserve">Zitiervorschlag: § 10 LiqV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https://recht.nulegal.eu/gesetze/LiqV/10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