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LiqV — Anwendungsbereich</w:t>
      </w:r>
    </w:p>
    <w:p>
      <w:r>
        <w:rPr>
          <w:color w:val="555555"/>
          <w:sz w:val="18"/>
        </w:rPr>
        <w:t xml:space="preserve">Liquiditätsverordnung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Diese Verordnung ist anzuwenden auf diejenigen Kreditinstitute, auf die die Vorschriften des Teils 6 der Verordnung (EU) Nr. 575/2013 des Europäischen Parlaments und des Rates vom 26. Juni 2013 über Aufsichtsanforderungen an Kreditinstitute und Wertpapierfirmen und zur Änderung der Verordnung (EU) Nr. 648/2012 (ABl. L 176 vom 27.6.2013, S. 1; L 208 vom 2.8.2013, S. 68; L 321 vom 30.11.2013, S. 6; L 193 vom 21.7.2015, S. 166; L 20 vom 25.1.2017, S. 3; L 13 vom 17.1.2020, S. 58; L 335 vom 13.10.2020, S. 20; L 405 vom 2.12.2020, S. 79), die zuletzt durch die Verordnung (EU) 2020/873 (ABl. L 204 vom 26.6.2020, S. 4) geändert worden ist, nicht anzuwenden sind.</w:t>
      </w:r>
    </w:p>
    <w:p>
      <w:r>
        <w:rPr>
          <w:color w:val="555555"/>
          <w:sz w:val="17"/>
        </w:rPr>
        <w:t xml:space="preserve">Zitiervorschlag: § 1 LiqV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https://recht.nulegal.eu/gesetze/LiqV/1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