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LfUV (Bayern) — Inkrafttreten, Außerkrafttreten</w:t>
      </w:r>
    </w:p>
    <w:p>
      <w:r>
        <w:rPr>
          <w:color w:val="555555"/>
          <w:sz w:val="18"/>
        </w:rPr>
        <w:t xml:space="preserve">Verordnung über das Landesamt für Umwelt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2022 in Kraft.</w:t>
      </w:r>
    </w:p>
    <w:p>
      <w:r>
        <w:t xml:space="preserve">(2) Mit Ablauf des 31. Januars 2022 tritt § 2 der Landesämterverordnung (LAV-UGV) vom 27. November 2001 (GVBl. S. 886, BayRS 2120-3-U/G), die zuletzt durch Verordnung vom 9. August 2021 (GVBl. S. 539) geändert worden ist, außer Kraft.</w:t>
      </w:r>
    </w:p>
    <w:p>
      <w:r>
        <w:rPr>
          <w:color w:val="555555"/>
          <w:sz w:val="17"/>
        </w:rPr>
        <w:t xml:space="preserve">Zitiervorschlag: § 2 LfUV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https://recht.nulegal.eu/gesetze/LfUV/2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