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LfUV (Bayern) — Aufgaben</w:t>
      </w:r>
    </w:p>
    <w:p>
      <w:r>
        <w:rPr>
          <w:color w:val="555555"/>
          <w:sz w:val="18"/>
        </w:rPr>
        <w:t xml:space="preserve">Verordnung über das Landesamt für Umwelt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den Bereichen des Art. 1 Abs. 2 Satz 1 Nr. 1 bis 6 des Gesetzes über das Bayerische Landesamt für Umwelt (LfUG) nimmt das Landesamt für Umwelt (Landesamt) insbesondere folgende Aufgaben wahr:</w:t>
      </w:r>
    </w:p>
    <w:p>
      <w:r>
        <w:t xml:space="preserve">1. Unterstützung des Staatsministeriums für Umwelt und Verbraucherschutz, der Wasserwirtschaftsämter sowie der Kreisverwaltungsbehörden und Regierungen bei deren Vollzugsaufgaben,</w:t>
      </w:r>
    </w:p>
    <w:p>
      <w:r>
        <w:t xml:space="preserve">2. Vertretung der fachlichen Belange in Verwaltungsverfahren, Verwaltungsstreitverfahren und Fachplanungen, soweit sich diese auf staatliche Aufgaben beziehen,</w:t>
      </w:r>
    </w:p>
    <w:p>
      <w:r>
        <w:t xml:space="preserve">3. umweltfachliche Aus-, Fort- und Weiterbildung.</w:t>
      </w:r>
    </w:p>
    <w:p>
      <w:r>
        <w:t xml:space="preserve">(2) Im Bereich des Art. 1 Abs. 2 Satz 1 Nr. 7 LfUG nimmt das Landesamt insbesondere folgende Aufgaben wahr:</w:t>
      </w:r>
    </w:p>
    <w:p>
      <w:r>
        <w:t xml:space="preserve">1. Unterstützung des Staatsministeriums für Wirtschaft, Landesentwicklung und Energie,</w:t>
      </w:r>
    </w:p>
    <w:p>
      <w:r>
        <w:t xml:space="preserve">2. Koordinierung und Vernetzung fachbezogener Einrichtungen,</w:t>
      </w:r>
    </w:p>
    <w:p>
      <w:r>
        <w:t xml:space="preserve">3. fachbezogene Öffentlichkeitsarbeit,</w:t>
      </w:r>
    </w:p>
    <w:p>
      <w:r>
        <w:t xml:space="preserve">4. fachbezogene Forschung und fachliche Begleitung der Energiewende.</w:t>
      </w:r>
    </w:p>
    <w:p>
      <w:r>
        <w:t xml:space="preserve">(3) Das Landesamt nimmt insbesondere folgende weitere Aufgaben wahr:</w:t>
      </w:r>
    </w:p>
    <w:p>
      <w:r>
        <w:t xml:space="preserve">1. Vollzug des Gesetzes zur Ausführung des Protokolls über Schadstofffreisetzungs- und -verbringungsregister vom 21. Mai 2003 sowie zur Durchführung der Verordnung (EG) Nr. 166/2006,</w:t>
      </w:r>
    </w:p>
    <w:p>
      <w:r>
        <w:t xml:space="preserve">2. Berichterstattung gemäß § 61 des Bundes-Immissionsschutzgesetzes (BImSchG),</w:t>
      </w:r>
    </w:p>
    <w:p>
      <w:r>
        <w:t xml:space="preserve">3. Vollzug des § 4 des Treibhausgas-Emissionshandelsgesetzes bei genehmigungsbedürftigen Anlagen nach § 4 Abs. 1 Satz 3 BImSchG.</w:t>
      </w:r>
    </w:p>
    <w:p>
      <w:r>
        <w:rPr>
          <w:color w:val="555555"/>
          <w:sz w:val="17"/>
        </w:rPr>
        <w:t xml:space="preserve">Zitiervorschlag: § 1 LfUV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https://recht.nulegal.eu/gesetze/LfUV/1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