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LfLV (Bayern)</w:t>
      </w:r>
    </w:p>
    <w:p>
      <w:r>
        <w:rPr>
          <w:color w:val="555555"/>
          <w:sz w:val="18"/>
        </w:rPr>
        <w:t xml:space="preserve">Verordnung über die Bayerische Landesanstalt für Landwirtschaft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12. November 2002</w:t>
      </w:r>
    </w:p>
    <w:p>
      <w:r>
        <w:t xml:space="preserve">Bayerisches Staatsministerium</w:t>
      </w:r>
    </w:p>
    <w:p>
      <w:r>
        <w:t xml:space="preserve">für Landwirtschaft und Forsten</w:t>
      </w:r>
    </w:p>
    <w:p>
      <w:r>
        <w:t xml:space="preserve">Josef Miller, Staatsminister</w:t>
      </w:r>
    </w:p>
    <w:p>
      <w:r>
        <w:rPr>
          <w:color w:val="555555"/>
          <w:sz w:val="17"/>
        </w:rPr>
        <w:t xml:space="preserve">Zitiervorschlag: Schlussformel LfLV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https://recht.nulegal.eu/gesetze/LfLV/schlussformel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