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LfLV (Bayern) — Obst und Gemüse</w:t>
      </w:r>
    </w:p>
    <w:p>
      <w:r>
        <w:rPr>
          <w:color w:val="555555"/>
          <w:sz w:val="18"/>
        </w:rPr>
        <w:t xml:space="preserve">Verordnung über die Bayerische Landesanstalt für Landwirtschaft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Rahmen der Anerkennung der Erzeugerorganisationen wird die Mindestanzahl der Erzeuger auf sieben Erzeuger festgesetzt.</w:t>
      </w:r>
    </w:p>
    <w:p>
      <w:r>
        <w:t xml:space="preserve">(2) Für Erzeugerorganisationen, die mindestens 200 Erzeuger haben und deren Haupttätigkeit sich auf Dauerkulturen bezieht, wird der Mindestwert der vermarktbaren Erzeugung auf 2 500 000 € herabgesetzt.</w:t>
      </w:r>
    </w:p>
    <w:p>
      <w:r>
        <w:rPr>
          <w:color w:val="555555"/>
          <w:sz w:val="17"/>
        </w:rPr>
        <w:t xml:space="preserve">Zitiervorschlag: § 5 LfLV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