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LfLV (Bayern) — Beirat der Landesanstalt</w:t>
      </w:r>
    </w:p>
    <w:p>
      <w:r>
        <w:rPr>
          <w:color w:val="555555"/>
          <w:sz w:val="18"/>
        </w:rPr>
        <w:t xml:space="preserve">Verordnung über die Bayerische Landesanstalt für Landwirtschaft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Unterstützung der Landesanstalt bei grundsätzlichen Entscheidungen und zur Beratung zu fachlichen Fragen besteht ein Beirat.</w:t>
      </w:r>
    </w:p>
    <w:p>
      <w:r>
        <w:t xml:space="preserve">(2) Das Nähere über die Zusammensetzung, die Aufgaben und Befugnisse sowie den Geschäftsgang des Beirats regelt eine von der Landesanstalt im Einvernehmen mit dem Staatsministerium zu erlassende Geschäftsordnung.</w:t>
      </w:r>
    </w:p>
    <w:p>
      <w:r>
        <w:rPr>
          <w:color w:val="555555"/>
          <w:sz w:val="17"/>
        </w:rPr>
        <w:t xml:space="preserve">Zitiervorschlag: § 3 LfLV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https://recht.nulegal.eu/gesetze/LfLV/3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