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LfLV (Bayern) — Errichtung, Sitz und Leitung</w:t>
      </w:r>
    </w:p>
    <w:p>
      <w:r>
        <w:rPr>
          <w:color w:val="555555"/>
          <w:sz w:val="18"/>
        </w:rPr>
        <w:t xml:space="preserve">Verordnung über die Bayerische Landesanstalt für Landwirtschaft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Bayerische Landesanstalt für Landwirtschaft (Landesanstalt – LfL) hat ihren Sitz in Freising-Weihenstephan. Sie ist dem Staatsministerium für Ernährung, Landwirtschaft, Forsten und Tourismus (Staatsministerium) unmittelbar nachgeordnet.</w:t>
      </w:r>
    </w:p>
    <w:p>
      <w:r>
        <w:t xml:space="preserve">(2) Die Landesanstalt wird durch einen Präsidenten geleitet. Zwei Vizepräsidenten unterstützen den Präsidenten bei der Wahrnehmung seiner Aufgaben.</w:t>
      </w:r>
    </w:p>
    <w:p>
      <w:r>
        <w:rPr>
          <w:color w:val="555555"/>
          <w:sz w:val="17"/>
        </w:rPr>
        <w:t xml:space="preserve">Zitiervorschlag: § 1 LfLV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https://recht.nulegal.eu/gesetze/LfLV/1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