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LfLLWGGebV (Bayern)</w:t>
      </w:r>
    </w:p>
    <w:p>
      <w:r>
        <w:rPr>
          <w:color w:val="555555"/>
          <w:sz w:val="18"/>
        </w:rPr>
        <w:t xml:space="preserve">Verordnung über Gebühren und Auslagen der Bayerischen Landesanstalten für Landwirtschaft und für Weinbau und Gartenbau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30. November 2010</w:t>
      </w:r>
    </w:p>
    <w:p>
      <w:r>
        <w:t xml:space="preserve">Bayerisches Staatsministerium für Ernährung, Landwirtschaft und Forsten</w:t>
      </w:r>
    </w:p>
    <w:p>
      <w:r>
        <w:t xml:space="preserve">Helmut Brunner, Staatsminister</w:t>
      </w:r>
    </w:p>
    <w:p>
      <w:r>
        <w:rPr>
          <w:color w:val="555555"/>
          <w:sz w:val="17"/>
        </w:rPr>
        <w:t xml:space="preserve">Zitiervorschlag: Schlussformel LfLLWGGebV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https://recht.nulegal.eu/gesetze/LfLLWGGebV/schlussformel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