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LfLLWGGebV (Bayern) — Schuldner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Zahlung der Gebühren und Auslagen ist verpflichtet</w:t>
      </w:r>
    </w:p>
    <w:p>
      <w:r>
        <w:t xml:space="preserve">1. wer die Landesanstalten in Anspruch nimmt,</w:t>
      </w:r>
    </w:p>
    <w:p>
      <w:r>
        <w:t xml:space="preserve">2. in wessen Interesse die Inanspruchnahme erfolgt,</w:t>
      </w:r>
    </w:p>
    <w:p>
      <w:r>
        <w:t xml:space="preserve">3. wer die Schuld gegenüber den Landesanstalten schriftlich übernimmt.</w:t>
      </w:r>
    </w:p>
    <w:p>
      <w:r>
        <w:t xml:space="preserve">(2) Mehrere Schuldner haften als Gesamtschuldner.</w:t>
      </w:r>
    </w:p>
    <w:p>
      <w:r>
        <w:rPr>
          <w:color w:val="555555"/>
          <w:sz w:val="17"/>
        </w:rPr>
        <w:t xml:space="preserve">Zitiervorschlag: § 4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